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17A96B" w14:textId="77777777" w:rsidR="00676707" w:rsidRDefault="00676707" w:rsidP="002712BE">
      <w:pPr>
        <w:rPr>
          <w:rFonts w:ascii="Arial" w:hAnsi="Arial"/>
          <w:b/>
        </w:rPr>
      </w:pPr>
      <w:r>
        <w:rPr>
          <w:rFonts w:ascii="Arial" w:hAnsi="Arial"/>
          <w:b/>
        </w:rPr>
        <w:t>Charlotte Rajasingh</w:t>
      </w:r>
    </w:p>
    <w:p w14:paraId="6DCB6574"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2F000F73" w14:textId="77777777" w:rsidR="007F4ACB" w:rsidRPr="00D1643B" w:rsidRDefault="007F4ACB" w:rsidP="002712BE">
      <w:pPr>
        <w:rPr>
          <w:rFonts w:ascii="Arial" w:hAnsi="Arial"/>
          <w:b/>
        </w:rPr>
      </w:pPr>
      <w:r w:rsidRPr="00D1643B">
        <w:rPr>
          <w:rFonts w:ascii="Arial" w:hAnsi="Arial"/>
          <w:b/>
        </w:rPr>
        <w:t>Spring 201</w:t>
      </w:r>
      <w:r w:rsidR="000101B1">
        <w:rPr>
          <w:rFonts w:ascii="Arial" w:hAnsi="Arial"/>
          <w:b/>
        </w:rPr>
        <w:t>4</w:t>
      </w:r>
      <w:r w:rsidR="002712BE" w:rsidRPr="00D1643B">
        <w:rPr>
          <w:rFonts w:ascii="Arial" w:hAnsi="Arial"/>
          <w:b/>
        </w:rPr>
        <w:t xml:space="preserve"> </w:t>
      </w:r>
      <w:r w:rsidRPr="00D1643B">
        <w:rPr>
          <w:rFonts w:ascii="Arial" w:hAnsi="Arial"/>
          <w:b/>
        </w:rPr>
        <w:t>Final Exam</w:t>
      </w:r>
    </w:p>
    <w:p w14:paraId="305D6F71" w14:textId="77777777" w:rsidR="00B22B48" w:rsidRPr="00D1643B" w:rsidRDefault="002712BE" w:rsidP="002712BE">
      <w:pPr>
        <w:rPr>
          <w:rFonts w:ascii="Arial" w:hAnsi="Arial"/>
          <w:b/>
        </w:rPr>
      </w:pPr>
      <w:r w:rsidRPr="00D1643B">
        <w:rPr>
          <w:rFonts w:ascii="Arial" w:hAnsi="Arial"/>
          <w:b/>
        </w:rPr>
        <w:t xml:space="preserve">Due </w:t>
      </w:r>
      <w:r w:rsidR="000101B1">
        <w:rPr>
          <w:rFonts w:ascii="Arial" w:hAnsi="Arial"/>
          <w:b/>
        </w:rPr>
        <w:t>Monday</w:t>
      </w:r>
      <w:r w:rsidRPr="00D1643B">
        <w:rPr>
          <w:rFonts w:ascii="Arial" w:hAnsi="Arial"/>
          <w:b/>
        </w:rPr>
        <w:t xml:space="preserve">, </w:t>
      </w:r>
      <w:r w:rsidR="00037EF4">
        <w:rPr>
          <w:rFonts w:ascii="Arial" w:hAnsi="Arial"/>
          <w:b/>
        </w:rPr>
        <w:t>May 2</w:t>
      </w:r>
      <w:r w:rsidR="000101B1">
        <w:rPr>
          <w:rFonts w:ascii="Arial" w:hAnsi="Arial"/>
          <w:b/>
        </w:rPr>
        <w:t>6</w:t>
      </w:r>
      <w:r w:rsidR="00E10FD3">
        <w:rPr>
          <w:rFonts w:ascii="Arial" w:hAnsi="Arial"/>
          <w:b/>
        </w:rPr>
        <w:t xml:space="preserve"> </w:t>
      </w:r>
      <w:r w:rsidR="0094691E">
        <w:rPr>
          <w:rFonts w:ascii="Arial" w:hAnsi="Arial"/>
          <w:b/>
        </w:rPr>
        <w:t>201</w:t>
      </w:r>
      <w:r w:rsidR="000101B1">
        <w:rPr>
          <w:rFonts w:ascii="Arial" w:hAnsi="Arial"/>
          <w:b/>
        </w:rPr>
        <w:t>4</w:t>
      </w:r>
      <w:r w:rsidR="0094691E">
        <w:rPr>
          <w:rFonts w:ascii="Arial" w:hAnsi="Arial"/>
          <w:b/>
        </w:rPr>
        <w:t xml:space="preserve"> </w:t>
      </w:r>
      <w:r w:rsidRPr="00D1643B">
        <w:rPr>
          <w:rFonts w:ascii="Arial" w:hAnsi="Arial"/>
          <w:b/>
        </w:rPr>
        <w:t>at</w:t>
      </w:r>
      <w:r w:rsidR="000101B1">
        <w:rPr>
          <w:rFonts w:ascii="Arial" w:hAnsi="Arial"/>
          <w:b/>
        </w:rPr>
        <w:t xml:space="preserve"> midnight</w:t>
      </w:r>
      <w:r w:rsidRPr="00D1643B">
        <w:rPr>
          <w:rFonts w:ascii="Arial" w:hAnsi="Arial"/>
          <w:b/>
        </w:rPr>
        <w:t>.</w:t>
      </w:r>
      <w:r w:rsidR="00B22B48" w:rsidRPr="00D1643B">
        <w:rPr>
          <w:rFonts w:ascii="Arial" w:hAnsi="Arial"/>
          <w:b/>
        </w:rPr>
        <w:t xml:space="preserve"> </w:t>
      </w:r>
    </w:p>
    <w:p w14:paraId="0B891287" w14:textId="77777777" w:rsidR="00C74F57" w:rsidRPr="00D1643B" w:rsidRDefault="00C74F57" w:rsidP="002712BE">
      <w:pPr>
        <w:rPr>
          <w:rFonts w:ascii="Arial" w:hAnsi="Arial"/>
        </w:rPr>
      </w:pPr>
    </w:p>
    <w:p w14:paraId="24987BAB" w14:textId="77777777" w:rsidR="00D1643B" w:rsidRPr="00D1643B" w:rsidRDefault="00D1643B" w:rsidP="002712BE">
      <w:pPr>
        <w:rPr>
          <w:rFonts w:ascii="Arial" w:hAnsi="Arial"/>
        </w:rPr>
      </w:pPr>
    </w:p>
    <w:p w14:paraId="08CD128F" w14:textId="77777777" w:rsidR="00D1643B" w:rsidRDefault="00D1643B" w:rsidP="00D1643B">
      <w:pPr>
        <w:rPr>
          <w:rFonts w:ascii="Arial" w:hAnsi="Arial"/>
        </w:rPr>
      </w:pPr>
      <w:r w:rsidRPr="00D1643B">
        <w:rPr>
          <w:rFonts w:ascii="Arial" w:hAnsi="Arial"/>
        </w:rPr>
        <w:t>Stanford University Honor Code</w:t>
      </w:r>
    </w:p>
    <w:p w14:paraId="3E4DBDB5" w14:textId="77777777" w:rsidR="00D1643B" w:rsidRPr="00D1643B" w:rsidRDefault="00D1643B" w:rsidP="00D1643B">
      <w:pPr>
        <w:rPr>
          <w:rFonts w:ascii="Arial" w:hAnsi="Arial"/>
        </w:rPr>
      </w:pPr>
    </w:p>
    <w:p w14:paraId="4773A6B7"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3ACF8BC7" w14:textId="77777777" w:rsidR="00D1643B" w:rsidRDefault="00D1643B" w:rsidP="00D1643B">
      <w:pPr>
        <w:rPr>
          <w:rFonts w:ascii="Arial" w:hAnsi="Arial"/>
        </w:rPr>
      </w:pPr>
    </w:p>
    <w:p w14:paraId="47322E34"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6B2363B8"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47B57A16"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18197BBB" w14:textId="77777777" w:rsidR="00D1643B" w:rsidRDefault="00D1643B" w:rsidP="00D1643B">
      <w:pPr>
        <w:rPr>
          <w:rFonts w:ascii="Arial" w:hAnsi="Arial"/>
        </w:rPr>
      </w:pPr>
    </w:p>
    <w:p w14:paraId="24AC7154"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0684666E" w14:textId="77777777" w:rsidR="00D1643B" w:rsidRPr="00D1643B" w:rsidRDefault="00D1643B" w:rsidP="00D1643B">
      <w:pPr>
        <w:rPr>
          <w:rFonts w:ascii="Arial" w:hAnsi="Arial"/>
        </w:rPr>
      </w:pPr>
      <w:r w:rsidRPr="00D1643B">
        <w:rPr>
          <w:rFonts w:ascii="Arial" w:hAnsi="Arial"/>
        </w:rPr>
        <w:t>above.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205A454E" w14:textId="77777777" w:rsidR="00D1643B" w:rsidRDefault="00D1643B" w:rsidP="00D1643B">
      <w:pPr>
        <w:rPr>
          <w:rFonts w:ascii="Arial" w:hAnsi="Arial"/>
        </w:rPr>
      </w:pPr>
    </w:p>
    <w:p w14:paraId="422195C8"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1D7BE855" w14:textId="77777777" w:rsidR="00D1643B" w:rsidRPr="00D1643B" w:rsidRDefault="00D1643B" w:rsidP="00D1643B">
      <w:pPr>
        <w:rPr>
          <w:rFonts w:ascii="Arial" w:hAnsi="Arial"/>
        </w:rPr>
      </w:pPr>
    </w:p>
    <w:p w14:paraId="358CD414" w14:textId="77777777" w:rsidR="00D1643B" w:rsidRDefault="00D1643B" w:rsidP="00D1643B">
      <w:pPr>
        <w:rPr>
          <w:rFonts w:ascii="Arial" w:hAnsi="Arial"/>
        </w:rPr>
      </w:pPr>
      <w:r w:rsidRPr="00D1643B">
        <w:rPr>
          <w:rFonts w:ascii="Arial" w:hAnsi="Arial"/>
        </w:rPr>
        <w:t>Signature</w:t>
      </w:r>
    </w:p>
    <w:p w14:paraId="76B0DCE0" w14:textId="77777777" w:rsidR="00DD5871" w:rsidRPr="00D1643B" w:rsidRDefault="00DD5871" w:rsidP="00D1643B">
      <w:pPr>
        <w:rPr>
          <w:rFonts w:ascii="Arial" w:hAnsi="Arial"/>
        </w:rPr>
      </w:pPr>
    </w:p>
    <w:p w14:paraId="7A1686DD"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4D40D87A" w14:textId="77777777" w:rsidR="00D1643B" w:rsidRDefault="00D1643B" w:rsidP="00D1643B">
      <w:pPr>
        <w:rPr>
          <w:rFonts w:ascii="Arial" w:hAnsi="Arial"/>
        </w:rPr>
      </w:pPr>
    </w:p>
    <w:p w14:paraId="4BBD9477" w14:textId="77777777" w:rsidR="00DD5871" w:rsidRDefault="00DD5871" w:rsidP="00D1643B">
      <w:pPr>
        <w:rPr>
          <w:rFonts w:ascii="Arial" w:hAnsi="Arial"/>
        </w:rPr>
      </w:pPr>
    </w:p>
    <w:p w14:paraId="42F57265" w14:textId="6C9CB784" w:rsidR="00D1643B" w:rsidRPr="0097035F" w:rsidRDefault="00D1643B" w:rsidP="00D1643B">
      <w:pPr>
        <w:rPr>
          <w:rFonts w:ascii="Arial" w:hAnsi="Arial"/>
        </w:rPr>
      </w:pPr>
      <w:r w:rsidRPr="0097035F">
        <w:rPr>
          <w:rFonts w:ascii="Arial" w:hAnsi="Arial"/>
        </w:rPr>
        <w:t>Name</w:t>
      </w:r>
      <w:r w:rsidR="0097035F" w:rsidRPr="0097035F">
        <w:rPr>
          <w:rFonts w:ascii="Arial" w:hAnsi="Arial"/>
        </w:rPr>
        <w:t xml:space="preserve">: </w:t>
      </w:r>
      <w:r w:rsidR="0097035F" w:rsidRPr="0097035F">
        <w:rPr>
          <w:rFonts w:ascii="Arial" w:hAnsi="Arial"/>
          <w:b/>
          <w:u w:val="single"/>
        </w:rPr>
        <w:t>Charlotte Rajasingh</w:t>
      </w:r>
      <w:r w:rsidRPr="0097035F">
        <w:rPr>
          <w:rFonts w:ascii="Arial" w:hAnsi="Arial"/>
        </w:rPr>
        <w:t xml:space="preserve">  SUNet ID</w:t>
      </w:r>
      <w:r w:rsidR="00335C84">
        <w:rPr>
          <w:rFonts w:ascii="Arial" w:hAnsi="Arial"/>
        </w:rPr>
        <w:t xml:space="preserve">: </w:t>
      </w:r>
      <w:r w:rsidR="00335C84">
        <w:rPr>
          <w:rFonts w:ascii="Helvetica" w:hAnsi="Helvetica" w:cs="Helvetica"/>
          <w:sz w:val="26"/>
          <w:szCs w:val="26"/>
        </w:rPr>
        <w:t>05917485</w:t>
      </w:r>
    </w:p>
    <w:p w14:paraId="5D326C60" w14:textId="77777777" w:rsidR="00D1643B" w:rsidRDefault="00D1643B" w:rsidP="00D1643B">
      <w:pPr>
        <w:rPr>
          <w:rFonts w:ascii="Arial" w:hAnsi="Arial"/>
        </w:rPr>
      </w:pPr>
    </w:p>
    <w:p w14:paraId="727476FD" w14:textId="77777777" w:rsidR="00DD5871" w:rsidRDefault="00DD5871" w:rsidP="00D1643B">
      <w:pPr>
        <w:rPr>
          <w:rFonts w:ascii="Arial" w:hAnsi="Arial"/>
        </w:rPr>
      </w:pPr>
    </w:p>
    <w:p w14:paraId="7905B920" w14:textId="180A231A" w:rsidR="00D1643B" w:rsidRDefault="00D1643B" w:rsidP="00D1643B">
      <w:pPr>
        <w:rPr>
          <w:rFonts w:ascii="Arial" w:hAnsi="Arial"/>
        </w:rPr>
      </w:pPr>
      <w:r>
        <w:rPr>
          <w:rFonts w:ascii="Arial" w:hAnsi="Arial"/>
        </w:rPr>
        <w:t xml:space="preserve">Signature:  </w:t>
      </w:r>
      <w:r w:rsidR="0097035F">
        <w:rPr>
          <w:rFonts w:ascii="Arial" w:hAnsi="Arial"/>
          <w:i/>
        </w:rPr>
        <w:t>Charlotte M. Rajasingh 5/22/2013</w:t>
      </w:r>
      <w:r>
        <w:rPr>
          <w:rFonts w:ascii="Arial" w:hAnsi="Arial"/>
        </w:rPr>
        <w:br w:type="page"/>
      </w:r>
    </w:p>
    <w:p w14:paraId="57BF3A75" w14:textId="77777777" w:rsidR="00EF3C8B" w:rsidRPr="00A8454B" w:rsidRDefault="00C74F57" w:rsidP="002712BE">
      <w:pPr>
        <w:rPr>
          <w:rFonts w:ascii="Arial" w:hAnsi="Arial"/>
        </w:rPr>
      </w:pPr>
      <w:bookmarkStart w:id="0" w:name="_GoBack"/>
      <w:bookmarkEnd w:id="0"/>
      <w:r w:rsidRPr="00A8454B">
        <w:rPr>
          <w:rFonts w:ascii="Arial" w:hAnsi="Arial"/>
        </w:rPr>
        <w:lastRenderedPageBreak/>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(SNPedia is fine, journals are better); as long as the justification is sound, you will receive full credit</w:t>
      </w:r>
      <w:r w:rsidR="00654B47" w:rsidRPr="00A8454B">
        <w:rPr>
          <w:rFonts w:ascii="Arial" w:hAnsi="Arial"/>
        </w:rPr>
        <w:t>.</w:t>
      </w:r>
    </w:p>
    <w:p w14:paraId="5E326D73" w14:textId="77777777" w:rsidR="00654B47" w:rsidRPr="00A8454B" w:rsidRDefault="00654B47" w:rsidP="002712BE">
      <w:pPr>
        <w:rPr>
          <w:rFonts w:ascii="Arial" w:hAnsi="Arial"/>
        </w:rPr>
      </w:pPr>
    </w:p>
    <w:p w14:paraId="4F9DB18A"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6FB0D006" w14:textId="77777777" w:rsidR="00D1643B" w:rsidRPr="00A8454B" w:rsidRDefault="00D1643B" w:rsidP="002712BE">
      <w:pPr>
        <w:rPr>
          <w:rFonts w:ascii="Arial" w:hAnsi="Arial"/>
        </w:rPr>
      </w:pPr>
    </w:p>
    <w:p w14:paraId="6D296EA9"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LabC</w:t>
      </w:r>
      <w:r w:rsidR="004451F1" w:rsidRPr="00037EF4">
        <w:rPr>
          <w:rFonts w:ascii="Arial" w:hAnsi="Arial" w:cs="Arial"/>
        </w:rPr>
        <w:t xml:space="preserve">orp,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OmniQuad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69874C97" w14:textId="77777777" w:rsidR="00B95AFC" w:rsidRPr="00A8454B" w:rsidRDefault="00B95AFC" w:rsidP="002712BE">
      <w:pPr>
        <w:rPr>
          <w:rFonts w:ascii="Arial" w:hAnsi="Arial"/>
        </w:rPr>
      </w:pPr>
    </w:p>
    <w:p w14:paraId="46832146" w14:textId="77777777" w:rsidR="00617ACE"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4157E4C1" w14:textId="468EE97A" w:rsidR="00FF4657" w:rsidRPr="00D24900" w:rsidRDefault="00FF4657" w:rsidP="002712BE">
      <w:pPr>
        <w:rPr>
          <w:rFonts w:ascii="Arial" w:hAnsi="Arial"/>
          <w:color w:val="0000FF"/>
        </w:rPr>
      </w:pPr>
      <w:r w:rsidRPr="00D24900">
        <w:rPr>
          <w:rFonts w:ascii="Arial" w:hAnsi="Arial"/>
          <w:color w:val="0000FF"/>
        </w:rPr>
        <w:t>Patient 1: mother</w:t>
      </w:r>
    </w:p>
    <w:p w14:paraId="06923F29" w14:textId="2FA05638" w:rsidR="009F77B1" w:rsidRPr="00D24900" w:rsidRDefault="00617ACE" w:rsidP="002712BE">
      <w:pPr>
        <w:rPr>
          <w:rFonts w:ascii="Arial" w:hAnsi="Arial"/>
          <w:color w:val="0000FF"/>
        </w:rPr>
      </w:pPr>
      <w:r w:rsidRPr="00D24900">
        <w:rPr>
          <w:rFonts w:ascii="Arial" w:hAnsi="Arial"/>
          <w:color w:val="0000FF"/>
        </w:rPr>
        <w:t>Patient 2: child</w:t>
      </w:r>
    </w:p>
    <w:p w14:paraId="739FC8A8" w14:textId="53E1BEFB" w:rsidR="00FF4657" w:rsidRPr="00D24900" w:rsidRDefault="00FF4657" w:rsidP="002712BE">
      <w:pPr>
        <w:rPr>
          <w:rFonts w:ascii="Arial" w:hAnsi="Arial"/>
          <w:color w:val="0000FF"/>
        </w:rPr>
      </w:pPr>
      <w:r w:rsidRPr="00D24900">
        <w:rPr>
          <w:rFonts w:ascii="Arial" w:hAnsi="Arial"/>
          <w:color w:val="0000FF"/>
        </w:rPr>
        <w:t>Patient 3: father</w:t>
      </w:r>
    </w:p>
    <w:p w14:paraId="1F40BF47" w14:textId="77777777" w:rsidR="001E7ADF" w:rsidRPr="00D24900" w:rsidRDefault="001E7ADF" w:rsidP="002712BE">
      <w:pPr>
        <w:rPr>
          <w:rFonts w:ascii="Arial" w:hAnsi="Arial"/>
          <w:color w:val="0000FF"/>
        </w:rPr>
      </w:pPr>
    </w:p>
    <w:p w14:paraId="11F6D146" w14:textId="57D71C05" w:rsidR="001E7ADF" w:rsidRPr="00D24900" w:rsidRDefault="00FF4657" w:rsidP="00197DD2">
      <w:pPr>
        <w:rPr>
          <w:rFonts w:ascii="Arial" w:hAnsi="Arial"/>
          <w:color w:val="0000FF"/>
        </w:rPr>
      </w:pPr>
      <w:r w:rsidRPr="00D24900">
        <w:rPr>
          <w:rFonts w:ascii="Arial" w:hAnsi="Arial"/>
          <w:color w:val="0000FF"/>
        </w:rPr>
        <w:t>Only patient 3 is a male so he must be the father.</w:t>
      </w:r>
      <w:r w:rsidR="00520306" w:rsidRPr="00D24900">
        <w:rPr>
          <w:rFonts w:ascii="Arial" w:hAnsi="Arial"/>
          <w:color w:val="0000FF"/>
        </w:rPr>
        <w:t xml:space="preserve"> Between patient 1 and 2 for</w:t>
      </w:r>
      <w:r w:rsidR="00197DD2" w:rsidRPr="00D24900">
        <w:rPr>
          <w:rFonts w:ascii="Arial" w:hAnsi="Arial"/>
          <w:color w:val="0000FF"/>
        </w:rPr>
        <w:t xml:space="preserve"> the mother vs. child looked at </w:t>
      </w:r>
      <w:r w:rsidR="008510A6" w:rsidRPr="00D24900">
        <w:rPr>
          <w:rFonts w:ascii="Arial" w:hAnsi="Arial"/>
          <w:color w:val="0000FF"/>
        </w:rPr>
        <w:t>rs 9651273.</w:t>
      </w:r>
    </w:p>
    <w:p w14:paraId="576EFC6F" w14:textId="1EEA94E1" w:rsidR="008510A6" w:rsidRPr="00D24900" w:rsidRDefault="008510A6" w:rsidP="00197DD2">
      <w:pPr>
        <w:rPr>
          <w:rFonts w:ascii="Arial" w:hAnsi="Arial"/>
          <w:color w:val="0000FF"/>
        </w:rPr>
      </w:pPr>
      <w:r w:rsidRPr="00D24900">
        <w:rPr>
          <w:rFonts w:ascii="Arial" w:hAnsi="Arial"/>
          <w:color w:val="0000FF"/>
        </w:rPr>
        <w:t>Patient 1: AG</w:t>
      </w:r>
    </w:p>
    <w:p w14:paraId="725AC2A8" w14:textId="41EF8F83" w:rsidR="008510A6" w:rsidRPr="00D24900" w:rsidRDefault="008510A6" w:rsidP="00197DD2">
      <w:pPr>
        <w:rPr>
          <w:rFonts w:ascii="Arial" w:hAnsi="Arial"/>
          <w:color w:val="0000FF"/>
        </w:rPr>
      </w:pPr>
      <w:r w:rsidRPr="00D24900">
        <w:rPr>
          <w:rFonts w:ascii="Arial" w:hAnsi="Arial"/>
          <w:color w:val="0000FF"/>
        </w:rPr>
        <w:t>Patient 2: GG</w:t>
      </w:r>
    </w:p>
    <w:p w14:paraId="285E3A4E" w14:textId="1B5A7DB0" w:rsidR="008510A6" w:rsidRPr="00D24900" w:rsidRDefault="008510A6" w:rsidP="00197DD2">
      <w:pPr>
        <w:rPr>
          <w:rFonts w:ascii="Arial" w:hAnsi="Arial"/>
          <w:color w:val="0000FF"/>
        </w:rPr>
      </w:pPr>
      <w:r w:rsidRPr="00D24900">
        <w:rPr>
          <w:rFonts w:ascii="Arial" w:hAnsi="Arial"/>
          <w:color w:val="0000FF"/>
        </w:rPr>
        <w:t>Patient 3: GG</w:t>
      </w:r>
    </w:p>
    <w:p w14:paraId="1E6171E1" w14:textId="62AF010A" w:rsidR="008510A6" w:rsidRPr="00D24900" w:rsidRDefault="008510A6" w:rsidP="00197DD2">
      <w:pPr>
        <w:rPr>
          <w:rFonts w:ascii="Arial" w:hAnsi="Arial"/>
          <w:color w:val="0000FF"/>
        </w:rPr>
      </w:pPr>
      <w:r w:rsidRPr="00D24900">
        <w:rPr>
          <w:rFonts w:ascii="Arial" w:hAnsi="Arial"/>
          <w:color w:val="0000FF"/>
        </w:rPr>
        <w:t>Patient 2 and 3 could not have a child that is AG (as patient 1 is). Patient 1 and patient 3 could have a child that is GG (as patient 2 is). So patient 1 must be second parent.</w:t>
      </w:r>
    </w:p>
    <w:p w14:paraId="6AB47F79" w14:textId="50474B49" w:rsidR="003F720F" w:rsidRPr="00D24900" w:rsidRDefault="003F720F" w:rsidP="00197DD2">
      <w:pPr>
        <w:rPr>
          <w:rFonts w:ascii="Arial" w:hAnsi="Arial"/>
          <w:color w:val="0000FF"/>
        </w:rPr>
      </w:pPr>
      <w:r w:rsidRPr="00D24900">
        <w:rPr>
          <w:rFonts w:ascii="Arial" w:hAnsi="Arial"/>
          <w:color w:val="0000FF"/>
        </w:rPr>
        <w:t>Confirm this but looking at additional SNPs ex: rs4970362.</w:t>
      </w:r>
    </w:p>
    <w:p w14:paraId="08F74DA1" w14:textId="77777777" w:rsidR="00FF4657" w:rsidRPr="00A8454B" w:rsidRDefault="00FF4657" w:rsidP="002712BE">
      <w:pPr>
        <w:rPr>
          <w:rFonts w:ascii="Arial" w:hAnsi="Arial"/>
        </w:rPr>
      </w:pPr>
    </w:p>
    <w:p w14:paraId="28FDBA7C"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28E7F533" w14:textId="77777777" w:rsidR="006712DE" w:rsidRPr="00A8454B" w:rsidRDefault="006712DE" w:rsidP="002712BE">
      <w:pPr>
        <w:rPr>
          <w:rFonts w:ascii="Arial" w:hAnsi="Arial"/>
        </w:rPr>
      </w:pPr>
    </w:p>
    <w:p w14:paraId="65B66A4F" w14:textId="515F452D" w:rsidR="00776ADB" w:rsidRPr="00CF48F8" w:rsidRDefault="00D24900" w:rsidP="002712BE">
      <w:pPr>
        <w:rPr>
          <w:rFonts w:ascii="Arial" w:hAnsi="Arial"/>
          <w:color w:val="0000FF"/>
        </w:rPr>
      </w:pPr>
      <w:r w:rsidRPr="00CF48F8">
        <w:rPr>
          <w:rFonts w:ascii="Arial" w:hAnsi="Arial"/>
          <w:color w:val="0000FF"/>
        </w:rPr>
        <w:t>Using PCA (ref:HGDP World), the mother falls closest to near eastern and European populations. The father falls solidly within the European population cluster.</w:t>
      </w:r>
    </w:p>
    <w:p w14:paraId="62CF9A4C" w14:textId="0E88A169" w:rsidR="00D24900" w:rsidRPr="00CF48F8" w:rsidRDefault="00D24900" w:rsidP="002712BE">
      <w:pPr>
        <w:rPr>
          <w:rFonts w:ascii="Arial" w:hAnsi="Arial"/>
          <w:color w:val="0000FF"/>
        </w:rPr>
      </w:pPr>
      <w:r w:rsidRPr="00CF48F8">
        <w:rPr>
          <w:rFonts w:ascii="Arial" w:hAnsi="Arial"/>
          <w:color w:val="0000FF"/>
        </w:rPr>
        <w:t xml:space="preserve">Further PCA analysis (ref: HGDP European), mother </w:t>
      </w:r>
      <w:r w:rsidR="00CD60F8" w:rsidRPr="00CF48F8">
        <w:rPr>
          <w:rFonts w:ascii="Arial" w:hAnsi="Arial"/>
          <w:color w:val="0000FF"/>
        </w:rPr>
        <w:t>falls in</w:t>
      </w:r>
      <w:r w:rsidRPr="00CF48F8">
        <w:rPr>
          <w:rFonts w:ascii="Arial" w:hAnsi="Arial"/>
          <w:color w:val="0000FF"/>
        </w:rPr>
        <w:t xml:space="preserve"> a population cluster with Tuscan and Northern Italian ancestry. The father falls in the French ancestry cluster.</w:t>
      </w:r>
    </w:p>
    <w:p w14:paraId="047D7652" w14:textId="77777777"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5C30ED05" w14:textId="77777777" w:rsidR="002712BE" w:rsidRPr="005F5E60" w:rsidRDefault="002712BE" w:rsidP="002712BE">
      <w:pPr>
        <w:rPr>
          <w:rFonts w:ascii="Arial" w:hAnsi="Arial"/>
          <w:color w:val="FF0000"/>
        </w:rPr>
      </w:pPr>
    </w:p>
    <w:p w14:paraId="5C01D2B9" w14:textId="7C8122AE" w:rsidR="002712BE" w:rsidRPr="001C39B5"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p>
    <w:p w14:paraId="01C1F5B4" w14:textId="77777777" w:rsidR="001C39B5" w:rsidRDefault="001C39B5" w:rsidP="001C39B5">
      <w:pPr>
        <w:pStyle w:val="ListParagraph"/>
        <w:rPr>
          <w:rFonts w:ascii="Arial" w:hAnsi="Arial"/>
        </w:rPr>
      </w:pPr>
    </w:p>
    <w:p w14:paraId="08FBAD7F" w14:textId="5D723D04" w:rsidR="001C39B5" w:rsidRPr="007C0FD2" w:rsidRDefault="001C39B5" w:rsidP="001C39B5">
      <w:pPr>
        <w:pStyle w:val="ListParagraph"/>
        <w:rPr>
          <w:rFonts w:ascii="Arial" w:hAnsi="Arial"/>
          <w:color w:val="0000FF"/>
        </w:rPr>
      </w:pPr>
      <w:r w:rsidRPr="007C0FD2">
        <w:rPr>
          <w:rFonts w:ascii="Arial" w:hAnsi="Arial"/>
          <w:color w:val="0000FF"/>
        </w:rPr>
        <w:t>The lifetime</w:t>
      </w:r>
      <w:r w:rsidR="007C0FD2" w:rsidRPr="007C0FD2">
        <w:rPr>
          <w:rFonts w:ascii="Arial" w:hAnsi="Arial"/>
          <w:color w:val="0000FF"/>
        </w:rPr>
        <w:t xml:space="preserve"> (ages 15-79)</w:t>
      </w:r>
      <w:r w:rsidRPr="007C0FD2">
        <w:rPr>
          <w:rFonts w:ascii="Arial" w:hAnsi="Arial"/>
          <w:color w:val="0000FF"/>
        </w:rPr>
        <w:t xml:space="preserve"> risk for breast cancer in a Western European population is 9.7%</w:t>
      </w:r>
      <w:r w:rsidR="007C0FD2" w:rsidRPr="007C0FD2">
        <w:rPr>
          <w:rFonts w:ascii="Arial" w:hAnsi="Arial"/>
          <w:color w:val="0000FF"/>
        </w:rPr>
        <w:t>.</w:t>
      </w:r>
    </w:p>
    <w:p w14:paraId="51A3216D" w14:textId="77777777" w:rsidR="007C0FD2" w:rsidRPr="00D35FCE" w:rsidRDefault="007C0FD2" w:rsidP="007C0FD2">
      <w:pPr>
        <w:shd w:val="clear" w:color="auto" w:fill="FFFFFF"/>
        <w:spacing w:before="100" w:beforeAutospacing="1" w:after="100" w:afterAutospacing="1" w:line="234" w:lineRule="atLeast"/>
        <w:ind w:left="720"/>
        <w:rPr>
          <w:rFonts w:ascii="Arial" w:eastAsia="Times New Roman" w:hAnsi="Arial" w:cs="Times New Roman"/>
          <w:color w:val="0000FF"/>
        </w:rPr>
      </w:pPr>
      <w:r w:rsidRPr="00D35FCE">
        <w:rPr>
          <w:rFonts w:ascii="Arial" w:eastAsia="Times New Roman" w:hAnsi="Arial" w:cs="Times New Roman"/>
          <w:color w:val="0000FF"/>
        </w:rPr>
        <w:t>Forouzanfar MH, Foreman KJ, Delossantos AM, et al. Breast and cervical cancer in 187 countries between 1980 and 2010: a systematic analysis. Lancet. 378(9801):1461-84, 2011.</w:t>
      </w:r>
    </w:p>
    <w:p w14:paraId="4520E3FC" w14:textId="77777777" w:rsidR="002712BE" w:rsidRPr="002712BE" w:rsidRDefault="002712BE" w:rsidP="002712BE">
      <w:pPr>
        <w:rPr>
          <w:rFonts w:ascii="Arial" w:hAnsi="Arial"/>
          <w:i/>
        </w:rPr>
      </w:pPr>
    </w:p>
    <w:p w14:paraId="19D70FAB" w14:textId="77777777" w:rsidR="002712BE" w:rsidRPr="00A912B4"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14:paraId="5781C3F8" w14:textId="3C850E95" w:rsidR="00A912B4" w:rsidRPr="004A5636" w:rsidRDefault="00A912B4" w:rsidP="00A912B4">
      <w:pPr>
        <w:pStyle w:val="ListParagraph"/>
        <w:rPr>
          <w:rFonts w:ascii="Arial" w:hAnsi="Arial"/>
          <w:color w:val="0000FF"/>
        </w:rPr>
      </w:pPr>
      <w:r w:rsidRPr="004A5636">
        <w:rPr>
          <w:rFonts w:ascii="Arial" w:hAnsi="Arial"/>
          <w:color w:val="0000FF"/>
        </w:rPr>
        <w:t>Mother: DI</w:t>
      </w:r>
    </w:p>
    <w:p w14:paraId="2847EE44" w14:textId="612A9620" w:rsidR="00A912B4" w:rsidRPr="004A5636" w:rsidRDefault="00A912B4" w:rsidP="00A912B4">
      <w:pPr>
        <w:pStyle w:val="ListParagraph"/>
        <w:rPr>
          <w:rFonts w:ascii="Arial" w:hAnsi="Arial"/>
          <w:color w:val="0000FF"/>
        </w:rPr>
      </w:pPr>
      <w:r w:rsidRPr="004A5636">
        <w:rPr>
          <w:rFonts w:ascii="Arial" w:hAnsi="Arial"/>
          <w:color w:val="0000FF"/>
        </w:rPr>
        <w:t>Daughter:II</w:t>
      </w:r>
    </w:p>
    <w:p w14:paraId="578D4205" w14:textId="77777777" w:rsidR="00A912B4" w:rsidRPr="004A5636" w:rsidRDefault="00A912B4" w:rsidP="00A912B4">
      <w:pPr>
        <w:pStyle w:val="ListParagraph"/>
        <w:rPr>
          <w:rFonts w:ascii="Arial" w:hAnsi="Arial"/>
          <w:color w:val="0000FF"/>
        </w:rPr>
      </w:pPr>
    </w:p>
    <w:p w14:paraId="39CE4170" w14:textId="45073094" w:rsidR="00A912B4" w:rsidRPr="004A5636" w:rsidRDefault="00A912B4" w:rsidP="00A912B4">
      <w:pPr>
        <w:pStyle w:val="ListParagraph"/>
        <w:rPr>
          <w:rFonts w:ascii="Arial" w:hAnsi="Arial"/>
          <w:color w:val="0000FF"/>
        </w:rPr>
      </w:pPr>
      <w:r w:rsidRPr="004A5636">
        <w:rPr>
          <w:rFonts w:ascii="Arial" w:hAnsi="Arial"/>
          <w:color w:val="0000FF"/>
        </w:rPr>
        <w:t>Unfortunately, the mother is a carrier of the 185delAG BRCA1 mutation which dramatically increases her risk o</w:t>
      </w:r>
      <w:r w:rsidR="00CD1717">
        <w:rPr>
          <w:rFonts w:ascii="Arial" w:hAnsi="Arial"/>
          <w:color w:val="0000FF"/>
        </w:rPr>
        <w:t>f breast cancer (from 13% to ~60</w:t>
      </w:r>
      <w:r w:rsidRPr="004A5636">
        <w:rPr>
          <w:rFonts w:ascii="Arial" w:hAnsi="Arial"/>
          <w:color w:val="0000FF"/>
        </w:rPr>
        <w:t xml:space="preserve">%). </w:t>
      </w:r>
      <w:r w:rsidR="001C1E31" w:rsidRPr="004A5636">
        <w:rPr>
          <w:rFonts w:ascii="Arial" w:hAnsi="Arial"/>
          <w:color w:val="0000FF"/>
        </w:rPr>
        <w:t>The daughter is II, and therefore is not at increased risk.</w:t>
      </w:r>
    </w:p>
    <w:p w14:paraId="1F318E37" w14:textId="77777777" w:rsidR="004A5636" w:rsidRPr="004A5636" w:rsidRDefault="004A5636" w:rsidP="00A912B4">
      <w:pPr>
        <w:pStyle w:val="ListParagraph"/>
        <w:rPr>
          <w:rFonts w:ascii="Arial" w:hAnsi="Arial"/>
          <w:color w:val="0000FF"/>
        </w:rPr>
      </w:pPr>
    </w:p>
    <w:p w14:paraId="3D497417" w14:textId="28F4847E" w:rsidR="003E7C86" w:rsidRDefault="004A5636" w:rsidP="003E7C86">
      <w:pPr>
        <w:pStyle w:val="ListParagraph"/>
        <w:rPr>
          <w:rFonts w:ascii="Arial" w:hAnsi="Arial"/>
          <w:color w:val="0000FF"/>
        </w:rPr>
      </w:pPr>
      <w:r>
        <w:rPr>
          <w:rFonts w:ascii="Arial" w:hAnsi="Arial"/>
          <w:color w:val="0000FF"/>
        </w:rPr>
        <w:t>Several other SNPs are associated with breast cancer. The three associated with the most significant increase in risk are i4000377, i4000378,</w:t>
      </w:r>
      <w:r w:rsidR="006A6EFA">
        <w:rPr>
          <w:rFonts w:ascii="Arial" w:hAnsi="Arial"/>
          <w:color w:val="0000FF"/>
        </w:rPr>
        <w:t xml:space="preserve"> and</w:t>
      </w:r>
      <w:r>
        <w:rPr>
          <w:rFonts w:ascii="Arial" w:hAnsi="Arial"/>
          <w:color w:val="0000FF"/>
        </w:rPr>
        <w:t xml:space="preserve"> i4000379. </w:t>
      </w:r>
      <w:r w:rsidR="00A641C5">
        <w:rPr>
          <w:rFonts w:ascii="Arial" w:hAnsi="Arial"/>
          <w:color w:val="0000FF"/>
        </w:rPr>
        <w:t>The first two are associated with mutations in BRCA1, and the third in BRCA2.</w:t>
      </w:r>
      <w:r w:rsidR="003E7C86">
        <w:rPr>
          <w:rFonts w:ascii="Arial" w:hAnsi="Arial"/>
          <w:color w:val="0000FF"/>
        </w:rPr>
        <w:t xml:space="preserve"> </w:t>
      </w:r>
      <w:r w:rsidR="00C62026">
        <w:rPr>
          <w:rFonts w:ascii="Arial" w:hAnsi="Arial"/>
          <w:color w:val="0000FF"/>
        </w:rPr>
        <w:t xml:space="preserve">The </w:t>
      </w:r>
      <w:r w:rsidR="00CD1717" w:rsidRPr="003E7C86">
        <w:rPr>
          <w:rFonts w:ascii="Arial" w:hAnsi="Arial"/>
          <w:color w:val="0000FF"/>
        </w:rPr>
        <w:t>associated SNPs are common in individuals of Ashkenazi Jew ancestry</w:t>
      </w:r>
      <w:r w:rsidR="0025376F">
        <w:rPr>
          <w:rFonts w:ascii="Arial" w:hAnsi="Arial"/>
          <w:color w:val="0000FF"/>
        </w:rPr>
        <w:t xml:space="preserve"> and account for a huge (~80%) percent of hereditary breast cancer</w:t>
      </w:r>
      <w:r w:rsidR="00CD1717" w:rsidRPr="003E7C86">
        <w:rPr>
          <w:rFonts w:ascii="Arial" w:hAnsi="Arial"/>
          <w:color w:val="0000FF"/>
        </w:rPr>
        <w:t>.</w:t>
      </w:r>
      <w:r w:rsidR="003E7C86" w:rsidRPr="003E7C86">
        <w:rPr>
          <w:rFonts w:ascii="Arial" w:hAnsi="Arial"/>
          <w:color w:val="0000FF"/>
        </w:rPr>
        <w:t xml:space="preserve"> </w:t>
      </w:r>
    </w:p>
    <w:p w14:paraId="3FF14756" w14:textId="77777777" w:rsidR="003E7C86" w:rsidRDefault="003E7C86" w:rsidP="003E7C86">
      <w:pPr>
        <w:pStyle w:val="ListParagraph"/>
        <w:rPr>
          <w:rFonts w:ascii="Arial" w:hAnsi="Arial"/>
          <w:color w:val="0000FF"/>
        </w:rPr>
      </w:pPr>
    </w:p>
    <w:p w14:paraId="49948DF6" w14:textId="3DDEBF71" w:rsidR="00CD1717" w:rsidRDefault="003E7C86" w:rsidP="003E7C86">
      <w:pPr>
        <w:pStyle w:val="ListParagraph"/>
        <w:rPr>
          <w:rFonts w:ascii="Arial" w:hAnsi="Arial"/>
          <w:color w:val="0000FF"/>
        </w:rPr>
      </w:pPr>
      <w:r w:rsidRPr="003E7C86">
        <w:rPr>
          <w:rFonts w:ascii="Arial" w:hAnsi="Arial"/>
          <w:color w:val="0000FF"/>
        </w:rPr>
        <w:t xml:space="preserve">I4000378 is associated with a 12% to </w:t>
      </w:r>
      <w:r w:rsidR="00ED3F71">
        <w:rPr>
          <w:rFonts w:ascii="Arial" w:hAnsi="Arial"/>
          <w:color w:val="0000FF"/>
        </w:rPr>
        <w:t>~</w:t>
      </w:r>
      <w:r w:rsidRPr="003E7C86">
        <w:rPr>
          <w:rFonts w:ascii="Arial" w:hAnsi="Arial"/>
          <w:color w:val="0000FF"/>
        </w:rPr>
        <w:t>60% increase in the risk of breast cancer.</w:t>
      </w:r>
      <w:r>
        <w:rPr>
          <w:rFonts w:ascii="Arial" w:hAnsi="Arial"/>
          <w:color w:val="0000FF"/>
        </w:rPr>
        <w:t xml:space="preserve"> I4000379 is associated with a 12% to </w:t>
      </w:r>
      <w:r w:rsidR="00ED3F71">
        <w:rPr>
          <w:rFonts w:ascii="Arial" w:hAnsi="Arial"/>
          <w:color w:val="0000FF"/>
        </w:rPr>
        <w:t>~</w:t>
      </w:r>
      <w:r>
        <w:rPr>
          <w:rFonts w:ascii="Arial" w:hAnsi="Arial"/>
          <w:color w:val="0000FF"/>
        </w:rPr>
        <w:t>50% increase in breast cancer.</w:t>
      </w:r>
      <w:r w:rsidR="00802AE1">
        <w:rPr>
          <w:rFonts w:ascii="Arial" w:hAnsi="Arial"/>
          <w:color w:val="0000FF"/>
        </w:rPr>
        <w:t xml:space="preserve"> However, reports of incre</w:t>
      </w:r>
      <w:r w:rsidR="00E33780">
        <w:rPr>
          <w:rFonts w:ascii="Arial" w:hAnsi="Arial"/>
          <w:color w:val="0000FF"/>
        </w:rPr>
        <w:t>ased risk varied across studies likely because of variations in the study populations and other risk-modifying factors (low parity, early menarche, breast feeding, etc).</w:t>
      </w:r>
    </w:p>
    <w:p w14:paraId="2797DB0A" w14:textId="77777777" w:rsidR="00805D86" w:rsidRDefault="00805D86" w:rsidP="003E7C86">
      <w:pPr>
        <w:pStyle w:val="ListParagraph"/>
        <w:rPr>
          <w:rFonts w:ascii="Arial" w:hAnsi="Arial"/>
          <w:color w:val="0000FF"/>
        </w:rPr>
      </w:pPr>
    </w:p>
    <w:p w14:paraId="07BAC556" w14:textId="73F5A813" w:rsidR="00805D86" w:rsidRDefault="00805D86" w:rsidP="003E7C86">
      <w:pPr>
        <w:pStyle w:val="ListParagraph"/>
        <w:rPr>
          <w:rFonts w:ascii="Arial" w:hAnsi="Arial"/>
          <w:color w:val="0000FF"/>
        </w:rPr>
      </w:pPr>
      <w:r>
        <w:rPr>
          <w:rFonts w:ascii="Arial" w:hAnsi="Arial"/>
          <w:color w:val="0000FF"/>
        </w:rPr>
        <w:t>Several other lower penetrance SNPs have been reported (Ripperger et al, 2008). Though individually most of these SNPs are insignificant, the cumulative risk over many of them is significant.</w:t>
      </w:r>
    </w:p>
    <w:p w14:paraId="6352A0F4" w14:textId="77777777" w:rsidR="00805D86" w:rsidRDefault="00805D86" w:rsidP="003E7C86">
      <w:pPr>
        <w:pStyle w:val="ListParagraph"/>
        <w:rPr>
          <w:rFonts w:ascii="Arial" w:hAnsi="Arial"/>
          <w:color w:val="0000FF"/>
        </w:rPr>
      </w:pPr>
    </w:p>
    <w:p w14:paraId="08457957" w14:textId="3DDBC631" w:rsidR="00805D86" w:rsidRDefault="00805D86" w:rsidP="00805D86">
      <w:pPr>
        <w:pStyle w:val="ListParagraph"/>
        <w:rPr>
          <w:rFonts w:ascii="Arial" w:hAnsi="Arial"/>
          <w:color w:val="0000FF"/>
        </w:rPr>
      </w:pPr>
      <w:r>
        <w:rPr>
          <w:rFonts w:ascii="Arial" w:hAnsi="Arial"/>
          <w:color w:val="0000FF"/>
        </w:rPr>
        <w:t>Sources</w:t>
      </w:r>
      <w:r w:rsidRPr="00805D86">
        <w:rPr>
          <w:rFonts w:ascii="Arial" w:hAnsi="Arial"/>
          <w:color w:val="0000FF"/>
        </w:rPr>
        <w:fldChar w:fldCharType="begin"/>
      </w:r>
      <w:r w:rsidR="00E33780">
        <w:rPr>
          <w:rFonts w:ascii="Arial" w:hAnsi="Arial"/>
          <w:color w:val="0000FF"/>
        </w:rPr>
        <w:instrText xml:space="preserve"> ADDIN ZOTERO_ITEM CSL_CITATION {"citationID":"DZfKItEh","properties":{"formattedCitation":"{\\rtf \\super 1\\uc0\\u8211{}7\\nosupersub{}}","plainCitation":"1–7"},"citationItems":[{"id":200,"uris":["http://zotero.org/users/1833444/items/JHTTI3KH"],"uri":["http://zotero.org/users/1833444/items/JHTTI3KH"],"itemData":{"id":200,"type":"article-journal","title":"Characterization of BRCA1 and BRCA2 mutations in a large United States sample","container-title":"Journal of clinical oncology: official journal of the American Society of Clinical Oncology","page":"863-871","volume":"24","issue":"6","source":"NCBI PubMed","abstract":"PURPOSE: An accurate evaluation of the penetrance of BRCA1 and BRCA2 mutations is essential to the identification and clinical management of families at high risk of breast and ovarian cancer. Existing studies have focused on Ashkenazi Jews (AJ) or on families from outside the United States. In this article, we consider the US population using the largest US-based cohort to date of both AJ and non-AJ families.\nMETHODS: We collected 676 AJ families and 1,272 families of other ethnicities through the Cancer Genetics Network. Two hundred eighty-two AJ families were population based, whereas the remainder was collected through counseling clinics. We used a retrospective likelihood approach to correct for bias induced by oversampling of participants with a positive family history. Our approach takes full advantage of detailed family history information and the Mendelian transmission of mutated alleles in the family.\nRESULTS: In the US population, the estimated cumulative breast cancer risk at age 70 years was 0.46 (95% CI, 0.39 to 0.54) in BRCA1 carriers and 0.43 (95% CI, 0.36 to 0.51) in BRCA2 carriers, whereas ovarian cancer risk was 0.39 (95% CI, 0.30 to 0.50) in BRCA1 carriers and 0.22 (95% CI, 0.14 to 0.32) in BRCA2 carriers. We also reported the prospective risks of developing cancer for cancer-free carriers in 10-year age intervals. We noted a rapid decrease in the relative risk of breast cancer with age and derived its implication for genetic counseling.\nCONCLUSION: The penetrance of BRCA mutations in the United States is largely consistent with previous studies on Western populations given the large CIs on existing estimates. However, the absolute cumulative risks are on the lower end of the spectrum.","DOI":"10.1200/JCO.2005.03.6772","ISSN":"1527-7755","note":"PMID: 16484695 \nPMCID: PMC2323978","journalAbbreviation":"J. Clin. Oncol.","language":"eng","author":[{"family":"Chen","given":"Sining"},{"family":"Iversen","given":"Edwin S"},{"family":"Friebel","given":"Tara"},{"family":"Finkelstein","given":"Dianne"},{"family":"Weber","given":"Barbara L"},{"family":"Eisen","given":"Andrea"},{"family":"Peterson","given":"Leif E"},{"family":"Schildkraut","given":"Joellen M"},{"family":"Isaacs","given":"Claudine"},{"family":"Peshkin","given":"Beth N"},{"family":"Corio","given":"Camille"},{"family":"Leondaridis","given":"Leoni"},{"family":"Tomlinson","given":"Gail"},{"family":"Dutson","given":"Debra"},{"family":"Kerber","given":"Rich"},{"family":"Amos","given":"Christopher I"},{"family":"Strong","given":"Louise C"},{"family":"Berry","given":"Donald A"},{"family":"Euhus","given":"David M"},{"family":"Parmigiani","given":"Giovanni"}],"issued":{"date-parts":[["2006",2,20]]},"PMID":"16484695","PMCID":"PMC2323978"}},{"id":199,"uris":["http://zotero.org/users/1833444/items/7MZIVW8I"],"uri":["http://zotero.org/users/1833444/items/7MZIVW8I"],"itemData":{"id":199,"type":"article-journal","title":"Breast and ovarian cancer risks due to inherited mutations in BRCA1 and BRCA2","container-title":"Science (New York, N.Y.)","page":"643-646","volume":"302","issue":"5645","source":"NCBI PubMed","abstract":"Risks of breast and ovarian cancer were determined for Ashkenazi Jewish women with inherited mutations in the tumor suppressor genes BRCA1 and BRCA2. We selected 1008 index cases, regardless of family history of cancer, and carried out molecular analysis across entire families. The lifetime risk of breast cancer among female mutation carriers was 82%, similar to risks in families with many cases. Risks appear to be increasing with time: Breast cancer risk by age 50 among mutation carriers born before 1940 was 24%, but among those born after 1940 it was 67%. Lifetime risks of ovarian cancer were 54% for BRCA1 and 23% for BRCA2 mutation carriers. Physical exercise and lack of obesity in adolescence were associated with significantly delayed breast cancer onset.","DOI":"10.1126/science.1088759","ISSN":"1095-9203","note":"PMID: 14576434","journalAbbreviation":"Science","language":"eng","author":[{"family":"King","given":"Mary-Claire"},{"family":"Marks","given":"Joan H"},{"family":"Mandell","given":"Jessica B"},{"family":"New York Breast Cancer Study Group","given":""}],"issued":{"date-parts":[["2003",10,24]]},"PMID":"14576434"}},{"id":210,"uris":["http://zotero.org/users/1833444/items/V6SPMTWJ"],"uri":["http://zotero.org/users/1833444/items/V6SPMTWJ"],"itemData":{"id":210,"type":"article-journal","title":"The lifetime risks of breast cancer in Ashkenazi Jewish carriers of BRCA1 and BRCA2 mutations","container-title":"Cancer epidemiology, biomarkers &amp; prevention: a publication of the American Association for Cancer Research, cosponsored by the American Society of Preventive Oncology","page":"467-473","volume":"10","issue":"5","source":"NCBI PubMed","abstract":"Several studies using families with multiple occurrences of breast cancer have provided evidence for a very high lifetime penetrance in carriers of BRCA1 or BRCA2 mutations. However, there are reasons to suspect that the estimates of penetrance from studies of cancer families may be inflated. Access to the genotypes of incident cases of breast cancer in three hospitals and from a large series of unaffected survey participants provided the basis for direct estimation of the age-specific relative risks attributable to these mutations, and the resulting lifetime penetrance, without any reference to familial aggregation of cancer. Cases were identified from incident series of Jewish patients treated for primary breast cancer at the three hospitals. Control data were obtained from the large series of Jewish women recruited in the Washington, D.C., area by investigators at the National Cancer Institute and limited to 3434 women with no previous history of breast or ovarian cancer. All subjects were genotyped for the three mutations that are relatively common in Ashkenazi Jews, namely 185delAG and 5382 insC in BRCA1 and 6174delT in BRCA2. For BRCA1, the relative risks of breast cancer were estimated to be 21.6 in women under 40 years of age, 9.6 in women 40-49 years of age, and 7.6 in women &gt; or = 50 years of age. On the basis of these estimates, the penetrance of breast cancer at age 70 among BRCA1 mutation carriers is estimated to be 46% (95% confidence, 31%-80%) rising to 59% (95% confidence, 40%-93%) at age 80. For BRCA2, the relative risks in the same three age categories were estimated to be 3.3, 3.3, and 4.6, respectively, resulting in a penetrance at age 70 of 26% (95% confidence, 14%-50%) rising to 38% (95% confidence, 20%-68%) at age 80. The lifetime risk of breast cancer in Jewish women who are mutation carriers estimated via this approach is substantially lower than the reported lifetime risks estimated using multiple-case families. The risks appear to be different for carriers of BRCA1 and BRCA2 mutations.","ISSN":"1055-9965","note":"PMID: 11352856","journalAbbreviation":"Cancer Epidemiol. Biomarkers Prev.","language":"eng","author":[{"family":"Satagopan","given":"J M"},{"family":"Offit","given":"K"},{"family":"Foulkes","given":"W"},{"family":"Robson","given":"M E"},{"family":"Wacholder","given":"S"},{"family":"Eng","given":"C M"},{"family":"Karp","given":"S E"},{"family":"Begg","given":"C B"}],"issued":{"date-parts":[["2001",5]]},"PMID":"11352856"}},{"id":208,"uris":["http://zotero.org/users/1833444/items/VQ98GRXA"],"uri":["http://zotero.org/users/1833444/items/VQ98GRXA"],"itemData":{"id":208,"type":"article-journal","title":"The risk of cancer associated with specific mutations of BRCA1 and BRCA2 among Ashkenazi Jews","container-title":"The New England journal of medicine","page":"1401-1408","volume":"336","issue":"20","source":"NCBI PubMed","abstract":"BACKGROUND: Carriers of germ-line mutations in BRCA1 and BRCA2 from families at high risk for cancer have been estimated to have an 85 percent risk of breast cancer. Since the combined frequency of BRCA1 and BRCA2 mutations exceeds 2 percent among Ashkenazi Jews, we were able to estimate the risk of cancer in a large group of Jewish men and women from the Washington, D.C., area.\nMETHODS: We collected blood samples from 5318 Jewish subjects who had filled out epidemiologic questionnaires. Carriers of the 185delAG and 5382insC mutations in BRCA1 and the 6174delT mutation in BRCA2 were identified with assays based on the polymerase chain reaction. We estimated the risks of breast and other cancers by comparing the cancer histories of relatives of carriers of the mutations and noncarriers.\nRESULTS: One hundred twenty carriers of a BRCA1 or BRCA2 mutation were identified. By the age of 70, the estimated risk of breast cancer among carriers was 56 percent (95 percent confidence interval, 40 to 73 percent); of ovarian cancer, 16 percent (95 percent confidence interval, 6 to 28 percent); and of prostate cancer, 16 percent (95 percent confidence interval, 4 to 30 percent). There were no significant differences in the risk of breast cancer between carriers of BRCA1 mutations and carriers of BRCA2 mutations, and the incidence of colon cancer among the relatives of carriers was not elevated.\nCONCLUSIONS: Over 2 percent of Ashkenazi Jews carry mutations in BRCA1 or BRCA2 that confer increased risks of breast, ovarian, and prostate cancer. The risks of breast cancer may be overestimated, but they fall well below previous estimates based on subjects from high-risk families.","DOI":"10.1056/NEJM199705153362001","ISSN":"0028-4793","note":"PMID: 9145676","journalAbbreviation":"N. Engl. J. Med.","language":"eng","author":[{"family":"Struewing","given":"J P"},{"family":"Hartge","given":"P"},{"family":"Wacholder","given":"S"},{"family":"Baker","given":"S M"},{"family":"Berlin","given":"M"},{"family":"McAdams","given":"M"},{"family":"Timmerman","given":"M M"},{"family":"Brody","given":"L C"},{"family":"Tucker","given":"M A"}],"issued":{"date-parts":[["1997",5,15]]},"PMID":"9145676"}},{"id":201,"uris":["http://zotero.org/users/1833444/items/S8AI72TW"],"uri":["http://zotero.org/users/1833444/items/S8AI72TW"],"itemData":{"id":201,"type":"article-journal","title":"Breast cancer susceptibility: current knowledge and implications for genetic counselling","container-title":"European Journal of Human Genetics","page":"722-731","volume":"17","issue":"6","source":"www.nature.com","abstract":"Breast cancer is the most common malignancy in women in the Western world. Except for the high breast cancer risk in BRCA1 and BRCA2 mutation carriers as well as the risk for breast cancer in certain rare syndromes caused by mutations in TP53, STK11, PTEN, CDH1, NF1 or NBN, familial clustering of breast cancer remains largely unexplained. Despite significant efforts, BRCA3 could not be identified, but several reports have recently been published on genes involved in DNA repair and single nucleotide polymorphisms (SNPs) associated with an increased breast cancer risk. Although candidate gene approaches demonstrated moderately increased breast cancer risks for rare mutations in genes involved in DNA repair (ATM, CHEK2, BRIP1, PALB2 and RAD50), genome-wide association studies identified several SNPs as low-penetrance breast cancer susceptibility polymorphisms within genes as well as in chromosomal loci with no known genes (FGFR2, TOX3, LSP1, MAP3K1, TGFB1, 2q35 and 8q). Some of these low-penetrance breast cancer susceptibility polymorphisms also act as modifier genes in BRCA1/BRCA2 mutation carriers. This review not only outlines the recent key developments and potential clinical benefit for preventive management and therapy but also discusses the current limitations of genetic testing of variants associated with intermediate and low breast cancer risk.","DOI":"10.1038/ejhg.2008.212","ISSN":"1018-4813","shortTitle":"Breast cancer susceptibility","journalAbbreviation":"Eur J Hum Genet","language":"en","author":[{"family":"Ripperger","given":"Tim"},{"family":"Gadzicki","given":"Dorothea"},{"family":"Meindl","given":"Alfons"},{"family":"Schlegelberger","given":"Brigitte"}],"issued":{"date-parts":[["2008",12,17]]},"accessed":{"date-parts":[["2014",5,23]]}}},{"id":213,"uris":["http://zotero.org/users/1833444/items/XK5DG95S"],"uri":["http://zotero.org/users/1833444/items/XK5DG95S"],"itemData":{"id":213,"type":"article-journal","title":"Risks of cancer in BRCA1-mutation carriers. Breast Cancer Linkage Consortium","container-title":"Lancet","page":"692-695","volume":"343","issue":"8899","source":"NCBI PubMed","abstract":"Germline mutations in a gene on chromosome 17q known as BRCA1 are responsible for a large proportion of inherited predispositions to breast and ovarian cancer. In 33 families with evidence of linkage to BRCA1, we estimated the risks of breast and ovarian cancer from the occurrence of second cancers in individuals with breast cancer, and examined the risks of other cancers in BRCA1 carriers. 26 contralateral primary breast cancers occurring more than 3 years after a first breast cancer were observed before age 70, giving an estimated cumulative risk of breast cancer in gene carriers of 87% by age 70.23 primary ovarian cancers occurred in women with a previous breast cancer, resulting in an estimated cumulative risk of ovarian cancer of 44% by age 70.87 cancers other than breast or ovarian cancer were observed in individuals with breast or ovarian cancer and their first-degree relatives compared with 69.3 expected, based on national incidence rates. Significant excesses were observed for colon cancer (estimated relative risk [RR] to gene carriers 4.11 [95% CI 2.36-7.15]) and prostate cancer (3.33 [1.78-6.20]). No significant excesses (or deficits) were noted for cancers of other sites. Our study provides estimates of breast and ovarian cancer risks which are useful for counselling BRCA1-mutation carriers. It also shows that carriers are at increased risk of colon and prostate cancer, which may be of clinical significance in certain families if the risks are associated with specific mutations.","ISSN":"0140-6736","note":"PMID: 7907678","journalAbbreviation":"Lancet","language":"eng","author":[{"family":"Ford","given":"D"},{"family":"Easton","given":"D F"},{"family":"Bishop","given":"D T"},{"family":"Narod","given":"S A"},{"family":"Goldgar","given":"D E"}],"issued":{"date-parts":[["1994",3,19]]},"PMID":"7907678"}},{"id":215,"uris":["http://zotero.org/users/1833444/items/BZ24C5A3"],"uri":["http://zotero.org/users/1833444/items/BZ24C5A3"],"itemData":{"id":215,"type":"article-journal","title":"Prevalence and contribution of BRCA1 mutations in breast cancer and ovarian cancer: results from three U.S. population-based case-control studies of ovarian cancer","container-title":"American journal of human genetics","page":"496-504","volume":"60","issue":"3","source":"NCBI PubMed","abstract":"We investigate the familial risks of cancers of the breast and ovary, using data pooled from three population-based case-control studies of ovarian cancer that were conducted in the United States. We base estimates of the frequency of mutations of BRCA1 (and possibly other genes) on the reported occurrence of breast cancer and ovarian cancer in the mothers and sisters of 922 women with incident ovarian cancer (cases) and in 922 women with no history of ovarian cancer (controls). Segregation analysis and goodness-of-fit testing of genetic models suggest that rare mutations (frequency .0014; 95% confidence interval .0002-.011) account for all the observed aggregation of breast cancer and ovarian cancer in these families. The estimated risk of breast cancer by age 80 years is 73.5% in mutation carriers and 6.8% in noncarriers. The corresponding estimates for ovarian cancer are 27.8% in carriers and 1.8% in noncarriers. For cancer risk in carriers, these estimates are lower than those obtained from families selected for high cancer prevalence. The estimated proportion of all U.S. cancer diagnoses, by age 80 years, that are due to germ-line BRCA1 mutations is 3.0% for breast cancer and 4.4% for ovarian cancer. Aggregation of breast cancer and ovarian cancer was less evident in the families of 169 cases with borderline ovarian cancers than in the families of cases with invasive cancers. Familial aggregation did not differ by the ethnicity of the probands, although the number of non-White and Hispanic cases (N = 99) was sparse.","ISSN":"0002-9297","note":"PMID: 9042908 \nPMCID: PMC1712497","shortTitle":"Prevalence and contribution of BRCA1 mutations in breast cancer and ovarian cancer","journalAbbreviation":"Am. J. Hum. Genet.","language":"eng","author":[{"family":"Whittemore","given":"A S"},{"family":"Gong","given":"G"},{"family":"Itnyre","given":"J"}],"issued":{"date-parts":[["1997",3]]},"PMID":"9042908","PMCID":"PMC1712497"}}],"schema":"https://github.com/citation-style-language/schema/raw/master/csl-citation.json"} </w:instrText>
      </w:r>
      <w:r w:rsidRPr="00805D86">
        <w:rPr>
          <w:rFonts w:ascii="Arial" w:hAnsi="Arial"/>
          <w:color w:val="0000FF"/>
        </w:rPr>
        <w:fldChar w:fldCharType="separate"/>
      </w:r>
      <w:r w:rsidR="00E33780" w:rsidRPr="00E33780">
        <w:rPr>
          <w:rFonts w:ascii="Arial" w:hAnsi="Arial" w:cs="Arial"/>
          <w:color w:val="0000FF"/>
          <w:vertAlign w:val="superscript"/>
        </w:rPr>
        <w:t>1–7</w:t>
      </w:r>
      <w:r w:rsidRPr="00805D86">
        <w:rPr>
          <w:rFonts w:ascii="Arial" w:hAnsi="Arial"/>
          <w:color w:val="0000FF"/>
        </w:rPr>
        <w:fldChar w:fldCharType="end"/>
      </w:r>
    </w:p>
    <w:p w14:paraId="0D9E85A0" w14:textId="77777777" w:rsidR="00070277" w:rsidRPr="00070277" w:rsidRDefault="00805D86" w:rsidP="00D35FCE">
      <w:pPr>
        <w:pStyle w:val="Bibliography"/>
        <w:tabs>
          <w:tab w:val="clear" w:pos="260"/>
          <w:tab w:val="left" w:pos="720"/>
        </w:tabs>
        <w:ind w:left="720" w:firstLine="0"/>
        <w:rPr>
          <w:rFonts w:ascii="Arial" w:hAnsi="Arial" w:cs="Arial"/>
          <w:color w:val="0000FF"/>
        </w:rPr>
      </w:pPr>
      <w:r>
        <w:rPr>
          <w:rFonts w:ascii="Arial" w:hAnsi="Arial"/>
          <w:color w:val="0000FF"/>
        </w:rPr>
        <w:fldChar w:fldCharType="begin"/>
      </w:r>
      <w:r w:rsidR="009835CD">
        <w:rPr>
          <w:rFonts w:ascii="Arial" w:hAnsi="Arial"/>
          <w:color w:val="0000FF"/>
        </w:rPr>
        <w:instrText xml:space="preserve"> ADDIN ZOTERO_BIBL {"custom":[]} CSL_BIBLIOGRAPHY </w:instrText>
      </w:r>
      <w:r>
        <w:rPr>
          <w:rFonts w:ascii="Arial" w:hAnsi="Arial"/>
          <w:color w:val="0000FF"/>
        </w:rPr>
        <w:fldChar w:fldCharType="separate"/>
      </w:r>
      <w:r w:rsidR="00070277" w:rsidRPr="00070277">
        <w:rPr>
          <w:rFonts w:ascii="Arial" w:hAnsi="Arial" w:cs="Arial"/>
          <w:color w:val="0000FF"/>
        </w:rPr>
        <w:t>1.</w:t>
      </w:r>
      <w:r w:rsidR="00070277" w:rsidRPr="00070277">
        <w:rPr>
          <w:rFonts w:ascii="Arial" w:hAnsi="Arial" w:cs="Arial"/>
          <w:color w:val="0000FF"/>
        </w:rPr>
        <w:tab/>
        <w:t xml:space="preserve">Chen, S. </w:t>
      </w:r>
      <w:r w:rsidR="00070277" w:rsidRPr="00070277">
        <w:rPr>
          <w:rFonts w:ascii="Arial" w:hAnsi="Arial" w:cs="Arial"/>
          <w:i/>
          <w:iCs/>
          <w:color w:val="0000FF"/>
        </w:rPr>
        <w:t>et al.</w:t>
      </w:r>
      <w:r w:rsidR="00070277" w:rsidRPr="00070277">
        <w:rPr>
          <w:rFonts w:ascii="Arial" w:hAnsi="Arial" w:cs="Arial"/>
          <w:color w:val="0000FF"/>
        </w:rPr>
        <w:t xml:space="preserve"> Characterization of BRCA1 and BRCA2 mutations in a large United States sample. </w:t>
      </w:r>
      <w:r w:rsidR="00070277" w:rsidRPr="00070277">
        <w:rPr>
          <w:rFonts w:ascii="Arial" w:hAnsi="Arial" w:cs="Arial"/>
          <w:i/>
          <w:iCs/>
          <w:color w:val="0000FF"/>
        </w:rPr>
        <w:t>J. Clin. Oncol. Off. J. Am. Soc. Clin. Oncol.</w:t>
      </w:r>
      <w:r w:rsidR="00070277" w:rsidRPr="00070277">
        <w:rPr>
          <w:rFonts w:ascii="Arial" w:hAnsi="Arial" w:cs="Arial"/>
          <w:color w:val="0000FF"/>
        </w:rPr>
        <w:t xml:space="preserve"> </w:t>
      </w:r>
      <w:r w:rsidR="00070277" w:rsidRPr="00070277">
        <w:rPr>
          <w:rFonts w:ascii="Arial" w:hAnsi="Arial" w:cs="Arial"/>
          <w:b/>
          <w:bCs/>
          <w:color w:val="0000FF"/>
        </w:rPr>
        <w:t>24,</w:t>
      </w:r>
      <w:r w:rsidR="00070277" w:rsidRPr="00070277">
        <w:rPr>
          <w:rFonts w:ascii="Arial" w:hAnsi="Arial" w:cs="Arial"/>
          <w:color w:val="0000FF"/>
        </w:rPr>
        <w:t xml:space="preserve"> 863–871 (2006).</w:t>
      </w:r>
    </w:p>
    <w:p w14:paraId="1578F204" w14:textId="77777777" w:rsidR="00070277" w:rsidRPr="00070277" w:rsidRDefault="00070277" w:rsidP="00D35FCE">
      <w:pPr>
        <w:pStyle w:val="Bibliography"/>
        <w:tabs>
          <w:tab w:val="clear" w:pos="260"/>
          <w:tab w:val="left" w:pos="720"/>
        </w:tabs>
        <w:ind w:left="720" w:firstLine="0"/>
        <w:rPr>
          <w:rFonts w:ascii="Arial" w:hAnsi="Arial" w:cs="Arial"/>
          <w:color w:val="0000FF"/>
        </w:rPr>
      </w:pPr>
      <w:r w:rsidRPr="00070277">
        <w:rPr>
          <w:rFonts w:ascii="Arial" w:hAnsi="Arial" w:cs="Arial"/>
          <w:color w:val="0000FF"/>
        </w:rPr>
        <w:lastRenderedPageBreak/>
        <w:t>2.</w:t>
      </w:r>
      <w:r w:rsidRPr="00070277">
        <w:rPr>
          <w:rFonts w:ascii="Arial" w:hAnsi="Arial" w:cs="Arial"/>
          <w:color w:val="0000FF"/>
        </w:rPr>
        <w:tab/>
        <w:t xml:space="preserve">King, M.-C., Marks, J. H., Mandell, J. B. &amp; New York Breast Cancer Study Group. Breast and ovarian cancer risks due to inherited mutations in BRCA1 and BRCA2. </w:t>
      </w:r>
      <w:r w:rsidRPr="00070277">
        <w:rPr>
          <w:rFonts w:ascii="Arial" w:hAnsi="Arial" w:cs="Arial"/>
          <w:i/>
          <w:iCs/>
          <w:color w:val="0000FF"/>
        </w:rPr>
        <w:t>Science</w:t>
      </w:r>
      <w:r w:rsidRPr="00070277">
        <w:rPr>
          <w:rFonts w:ascii="Arial" w:hAnsi="Arial" w:cs="Arial"/>
          <w:color w:val="0000FF"/>
        </w:rPr>
        <w:t xml:space="preserve"> </w:t>
      </w:r>
      <w:r w:rsidRPr="00070277">
        <w:rPr>
          <w:rFonts w:ascii="Arial" w:hAnsi="Arial" w:cs="Arial"/>
          <w:b/>
          <w:bCs/>
          <w:color w:val="0000FF"/>
        </w:rPr>
        <w:t>302,</w:t>
      </w:r>
      <w:r w:rsidRPr="00070277">
        <w:rPr>
          <w:rFonts w:ascii="Arial" w:hAnsi="Arial" w:cs="Arial"/>
          <w:color w:val="0000FF"/>
        </w:rPr>
        <w:t xml:space="preserve"> 643–646 (2003).</w:t>
      </w:r>
    </w:p>
    <w:p w14:paraId="5BE94158" w14:textId="77777777" w:rsidR="00070277" w:rsidRPr="00070277" w:rsidRDefault="00070277" w:rsidP="00D35FCE">
      <w:pPr>
        <w:pStyle w:val="Bibliography"/>
        <w:tabs>
          <w:tab w:val="clear" w:pos="260"/>
          <w:tab w:val="left" w:pos="720"/>
        </w:tabs>
        <w:ind w:left="720" w:firstLine="0"/>
        <w:rPr>
          <w:rFonts w:ascii="Arial" w:hAnsi="Arial" w:cs="Arial"/>
          <w:color w:val="0000FF"/>
        </w:rPr>
      </w:pPr>
      <w:r w:rsidRPr="00070277">
        <w:rPr>
          <w:rFonts w:ascii="Arial" w:hAnsi="Arial" w:cs="Arial"/>
          <w:color w:val="0000FF"/>
        </w:rPr>
        <w:t>3.</w:t>
      </w:r>
      <w:r w:rsidRPr="00070277">
        <w:rPr>
          <w:rFonts w:ascii="Arial" w:hAnsi="Arial" w:cs="Arial"/>
          <w:color w:val="0000FF"/>
        </w:rPr>
        <w:tab/>
        <w:t xml:space="preserve">Satagopan, J. M. </w:t>
      </w:r>
      <w:r w:rsidRPr="00070277">
        <w:rPr>
          <w:rFonts w:ascii="Arial" w:hAnsi="Arial" w:cs="Arial"/>
          <w:i/>
          <w:iCs/>
          <w:color w:val="0000FF"/>
        </w:rPr>
        <w:t>et al.</w:t>
      </w:r>
      <w:r w:rsidRPr="00070277">
        <w:rPr>
          <w:rFonts w:ascii="Arial" w:hAnsi="Arial" w:cs="Arial"/>
          <w:color w:val="0000FF"/>
        </w:rPr>
        <w:t xml:space="preserve"> The lifetime risks of breast cancer in Ashkenazi Jewish carriers of BRCA1 and BRCA2 mutations. </w:t>
      </w:r>
      <w:r w:rsidRPr="00070277">
        <w:rPr>
          <w:rFonts w:ascii="Arial" w:hAnsi="Arial" w:cs="Arial"/>
          <w:i/>
          <w:iCs/>
          <w:color w:val="0000FF"/>
        </w:rPr>
        <w:t>Cancer Epidemiol. Biomark. Prev. Publ. Am. Assoc. Cancer Res. Cosponsored Am. Soc. Prev. Oncol.</w:t>
      </w:r>
      <w:r w:rsidRPr="00070277">
        <w:rPr>
          <w:rFonts w:ascii="Arial" w:hAnsi="Arial" w:cs="Arial"/>
          <w:color w:val="0000FF"/>
        </w:rPr>
        <w:t xml:space="preserve"> </w:t>
      </w:r>
      <w:r w:rsidRPr="00070277">
        <w:rPr>
          <w:rFonts w:ascii="Arial" w:hAnsi="Arial" w:cs="Arial"/>
          <w:b/>
          <w:bCs/>
          <w:color w:val="0000FF"/>
        </w:rPr>
        <w:t>10,</w:t>
      </w:r>
      <w:r w:rsidRPr="00070277">
        <w:rPr>
          <w:rFonts w:ascii="Arial" w:hAnsi="Arial" w:cs="Arial"/>
          <w:color w:val="0000FF"/>
        </w:rPr>
        <w:t xml:space="preserve"> 467–473 (2001).</w:t>
      </w:r>
    </w:p>
    <w:p w14:paraId="1E7CA829" w14:textId="77777777" w:rsidR="00070277" w:rsidRPr="00070277" w:rsidRDefault="00070277" w:rsidP="00D35FCE">
      <w:pPr>
        <w:pStyle w:val="Bibliography"/>
        <w:tabs>
          <w:tab w:val="clear" w:pos="260"/>
          <w:tab w:val="left" w:pos="720"/>
        </w:tabs>
        <w:ind w:left="720" w:firstLine="0"/>
        <w:rPr>
          <w:rFonts w:ascii="Arial" w:hAnsi="Arial" w:cs="Arial"/>
          <w:color w:val="0000FF"/>
        </w:rPr>
      </w:pPr>
      <w:r w:rsidRPr="00070277">
        <w:rPr>
          <w:rFonts w:ascii="Arial" w:hAnsi="Arial" w:cs="Arial"/>
          <w:color w:val="0000FF"/>
        </w:rPr>
        <w:t>4.</w:t>
      </w:r>
      <w:r w:rsidRPr="00070277">
        <w:rPr>
          <w:rFonts w:ascii="Arial" w:hAnsi="Arial" w:cs="Arial"/>
          <w:color w:val="0000FF"/>
        </w:rPr>
        <w:tab/>
        <w:t xml:space="preserve">Struewing, J. P. </w:t>
      </w:r>
      <w:r w:rsidRPr="00070277">
        <w:rPr>
          <w:rFonts w:ascii="Arial" w:hAnsi="Arial" w:cs="Arial"/>
          <w:i/>
          <w:iCs/>
          <w:color w:val="0000FF"/>
        </w:rPr>
        <w:t>et al.</w:t>
      </w:r>
      <w:r w:rsidRPr="00070277">
        <w:rPr>
          <w:rFonts w:ascii="Arial" w:hAnsi="Arial" w:cs="Arial"/>
          <w:color w:val="0000FF"/>
        </w:rPr>
        <w:t xml:space="preserve"> The risk of cancer associated with specific mutations of BRCA1 and BRCA2 among Ashkenazi Jews. </w:t>
      </w:r>
      <w:r w:rsidRPr="00070277">
        <w:rPr>
          <w:rFonts w:ascii="Arial" w:hAnsi="Arial" w:cs="Arial"/>
          <w:i/>
          <w:iCs/>
          <w:color w:val="0000FF"/>
        </w:rPr>
        <w:t>N. Engl. J. Med.</w:t>
      </w:r>
      <w:r w:rsidRPr="00070277">
        <w:rPr>
          <w:rFonts w:ascii="Arial" w:hAnsi="Arial" w:cs="Arial"/>
          <w:color w:val="0000FF"/>
        </w:rPr>
        <w:t xml:space="preserve"> </w:t>
      </w:r>
      <w:r w:rsidRPr="00070277">
        <w:rPr>
          <w:rFonts w:ascii="Arial" w:hAnsi="Arial" w:cs="Arial"/>
          <w:b/>
          <w:bCs/>
          <w:color w:val="0000FF"/>
        </w:rPr>
        <w:t>336,</w:t>
      </w:r>
      <w:r w:rsidRPr="00070277">
        <w:rPr>
          <w:rFonts w:ascii="Arial" w:hAnsi="Arial" w:cs="Arial"/>
          <w:color w:val="0000FF"/>
        </w:rPr>
        <w:t xml:space="preserve"> 1401–1408 (1997).</w:t>
      </w:r>
    </w:p>
    <w:p w14:paraId="2F4BE28B" w14:textId="77777777" w:rsidR="00070277" w:rsidRPr="00070277" w:rsidRDefault="00070277" w:rsidP="00D35FCE">
      <w:pPr>
        <w:pStyle w:val="Bibliography"/>
        <w:tabs>
          <w:tab w:val="clear" w:pos="260"/>
          <w:tab w:val="left" w:pos="720"/>
        </w:tabs>
        <w:ind w:left="720" w:firstLine="0"/>
        <w:rPr>
          <w:rFonts w:ascii="Arial" w:hAnsi="Arial" w:cs="Arial"/>
          <w:color w:val="0000FF"/>
        </w:rPr>
      </w:pPr>
      <w:r w:rsidRPr="00070277">
        <w:rPr>
          <w:rFonts w:ascii="Arial" w:hAnsi="Arial" w:cs="Arial"/>
          <w:color w:val="0000FF"/>
        </w:rPr>
        <w:t>5.</w:t>
      </w:r>
      <w:r w:rsidRPr="00070277">
        <w:rPr>
          <w:rFonts w:ascii="Arial" w:hAnsi="Arial" w:cs="Arial"/>
          <w:color w:val="0000FF"/>
        </w:rPr>
        <w:tab/>
        <w:t xml:space="preserve">Ripperger, T., Gadzicki, D., Meindl, A. &amp; Schlegelberger, B. Breast cancer susceptibility: current knowledge and implications for genetic counselling. </w:t>
      </w:r>
      <w:r w:rsidRPr="00070277">
        <w:rPr>
          <w:rFonts w:ascii="Arial" w:hAnsi="Arial" w:cs="Arial"/>
          <w:i/>
          <w:iCs/>
          <w:color w:val="0000FF"/>
        </w:rPr>
        <w:t>Eur. J. Hum. Genet.</w:t>
      </w:r>
      <w:r w:rsidRPr="00070277">
        <w:rPr>
          <w:rFonts w:ascii="Arial" w:hAnsi="Arial" w:cs="Arial"/>
          <w:color w:val="0000FF"/>
        </w:rPr>
        <w:t xml:space="preserve"> </w:t>
      </w:r>
      <w:r w:rsidRPr="00070277">
        <w:rPr>
          <w:rFonts w:ascii="Arial" w:hAnsi="Arial" w:cs="Arial"/>
          <w:b/>
          <w:bCs/>
          <w:color w:val="0000FF"/>
        </w:rPr>
        <w:t>17,</w:t>
      </w:r>
      <w:r w:rsidRPr="00070277">
        <w:rPr>
          <w:rFonts w:ascii="Arial" w:hAnsi="Arial" w:cs="Arial"/>
          <w:color w:val="0000FF"/>
        </w:rPr>
        <w:t xml:space="preserve"> 722–731 (2008).</w:t>
      </w:r>
    </w:p>
    <w:p w14:paraId="0D3ECA70" w14:textId="77777777" w:rsidR="00070277" w:rsidRPr="00070277" w:rsidRDefault="00070277" w:rsidP="00D35FCE">
      <w:pPr>
        <w:pStyle w:val="Bibliography"/>
        <w:tabs>
          <w:tab w:val="clear" w:pos="260"/>
          <w:tab w:val="left" w:pos="720"/>
        </w:tabs>
        <w:ind w:left="720" w:firstLine="0"/>
        <w:rPr>
          <w:rFonts w:ascii="Arial" w:hAnsi="Arial" w:cs="Arial"/>
          <w:color w:val="0000FF"/>
        </w:rPr>
      </w:pPr>
      <w:r w:rsidRPr="00070277">
        <w:rPr>
          <w:rFonts w:ascii="Arial" w:hAnsi="Arial" w:cs="Arial"/>
          <w:color w:val="0000FF"/>
        </w:rPr>
        <w:t>6.</w:t>
      </w:r>
      <w:r w:rsidRPr="00070277">
        <w:rPr>
          <w:rFonts w:ascii="Arial" w:hAnsi="Arial" w:cs="Arial"/>
          <w:color w:val="0000FF"/>
        </w:rPr>
        <w:tab/>
        <w:t xml:space="preserve">Ford, D., Easton, D. F., Bishop, D. T., Narod, S. A. &amp; Goldgar, D. E. Risks of cancer in BRCA1-mutation carriers. Breast Cancer Linkage Consortium. </w:t>
      </w:r>
      <w:r w:rsidRPr="00070277">
        <w:rPr>
          <w:rFonts w:ascii="Arial" w:hAnsi="Arial" w:cs="Arial"/>
          <w:i/>
          <w:iCs/>
          <w:color w:val="0000FF"/>
        </w:rPr>
        <w:t>Lancet</w:t>
      </w:r>
      <w:r w:rsidRPr="00070277">
        <w:rPr>
          <w:rFonts w:ascii="Arial" w:hAnsi="Arial" w:cs="Arial"/>
          <w:color w:val="0000FF"/>
        </w:rPr>
        <w:t xml:space="preserve"> </w:t>
      </w:r>
      <w:r w:rsidRPr="00070277">
        <w:rPr>
          <w:rFonts w:ascii="Arial" w:hAnsi="Arial" w:cs="Arial"/>
          <w:b/>
          <w:bCs/>
          <w:color w:val="0000FF"/>
        </w:rPr>
        <w:t>343,</w:t>
      </w:r>
      <w:r w:rsidRPr="00070277">
        <w:rPr>
          <w:rFonts w:ascii="Arial" w:hAnsi="Arial" w:cs="Arial"/>
          <w:color w:val="0000FF"/>
        </w:rPr>
        <w:t xml:space="preserve"> 692–695 (1994).</w:t>
      </w:r>
    </w:p>
    <w:p w14:paraId="3CE8D94B" w14:textId="77777777" w:rsidR="00070277" w:rsidRPr="00070277" w:rsidRDefault="00070277" w:rsidP="00D35FCE">
      <w:pPr>
        <w:pStyle w:val="Bibliography"/>
        <w:tabs>
          <w:tab w:val="clear" w:pos="260"/>
          <w:tab w:val="left" w:pos="720"/>
        </w:tabs>
        <w:ind w:left="720" w:firstLine="0"/>
        <w:rPr>
          <w:rFonts w:ascii="Arial" w:hAnsi="Arial" w:cs="Arial"/>
          <w:color w:val="0000FF"/>
        </w:rPr>
      </w:pPr>
      <w:r w:rsidRPr="00070277">
        <w:rPr>
          <w:rFonts w:ascii="Arial" w:hAnsi="Arial" w:cs="Arial"/>
          <w:color w:val="0000FF"/>
        </w:rPr>
        <w:t>7.</w:t>
      </w:r>
      <w:r w:rsidRPr="00070277">
        <w:rPr>
          <w:rFonts w:ascii="Arial" w:hAnsi="Arial" w:cs="Arial"/>
          <w:color w:val="0000FF"/>
        </w:rPr>
        <w:tab/>
        <w:t xml:space="preserve">Whittemore, A. S., Gong, G. &amp; Itnyre, J. Prevalence and contribution of BRCA1 mutations in breast cancer and ovarian cancer: results from three U.S. population-based case-control studies of ovarian cancer. </w:t>
      </w:r>
      <w:r w:rsidRPr="00070277">
        <w:rPr>
          <w:rFonts w:ascii="Arial" w:hAnsi="Arial" w:cs="Arial"/>
          <w:i/>
          <w:iCs/>
          <w:color w:val="0000FF"/>
        </w:rPr>
        <w:t>Am. J. Hum. Genet.</w:t>
      </w:r>
      <w:r w:rsidRPr="00070277">
        <w:rPr>
          <w:rFonts w:ascii="Arial" w:hAnsi="Arial" w:cs="Arial"/>
          <w:color w:val="0000FF"/>
        </w:rPr>
        <w:t xml:space="preserve"> </w:t>
      </w:r>
      <w:r w:rsidRPr="00070277">
        <w:rPr>
          <w:rFonts w:ascii="Arial" w:hAnsi="Arial" w:cs="Arial"/>
          <w:b/>
          <w:bCs/>
          <w:color w:val="0000FF"/>
        </w:rPr>
        <w:t>60,</w:t>
      </w:r>
      <w:r w:rsidRPr="00070277">
        <w:rPr>
          <w:rFonts w:ascii="Arial" w:hAnsi="Arial" w:cs="Arial"/>
          <w:color w:val="0000FF"/>
        </w:rPr>
        <w:t xml:space="preserve"> 496–504 (1997).</w:t>
      </w:r>
    </w:p>
    <w:p w14:paraId="6B49967D" w14:textId="6D19BAC1" w:rsidR="002712BE" w:rsidRPr="00802AE1" w:rsidRDefault="00805D86" w:rsidP="00802AE1">
      <w:pPr>
        <w:pStyle w:val="ListParagraph"/>
        <w:rPr>
          <w:rFonts w:ascii="Arial" w:hAnsi="Arial"/>
          <w:color w:val="0000FF"/>
        </w:rPr>
      </w:pPr>
      <w:r>
        <w:rPr>
          <w:rFonts w:ascii="Arial" w:hAnsi="Arial"/>
          <w:color w:val="0000FF"/>
        </w:rPr>
        <w:fldChar w:fldCharType="end"/>
      </w:r>
    </w:p>
    <w:p w14:paraId="011F3CC3" w14:textId="77777777" w:rsidR="002712BE"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14:paraId="266AC85A" w14:textId="77777777" w:rsidR="002712BE" w:rsidRDefault="002712BE" w:rsidP="002712BE">
      <w:pPr>
        <w:pStyle w:val="ListParagraph"/>
        <w:rPr>
          <w:rFonts w:ascii="Arial" w:hAnsi="Arial"/>
        </w:rPr>
      </w:pPr>
    </w:p>
    <w:p w14:paraId="67CBC400" w14:textId="14504809" w:rsidR="003F6B70" w:rsidRDefault="003F6B70" w:rsidP="002712BE">
      <w:pPr>
        <w:pStyle w:val="ListParagraph"/>
        <w:rPr>
          <w:rFonts w:ascii="Arial" w:hAnsi="Arial"/>
          <w:color w:val="0000FF"/>
        </w:rPr>
      </w:pPr>
      <w:r>
        <w:rPr>
          <w:rFonts w:ascii="Arial" w:hAnsi="Arial"/>
          <w:color w:val="0000FF"/>
        </w:rPr>
        <w:t>The mother is at a significan</w:t>
      </w:r>
      <w:r w:rsidR="001D1BD1">
        <w:rPr>
          <w:rFonts w:ascii="Arial" w:hAnsi="Arial"/>
          <w:color w:val="0000FF"/>
        </w:rPr>
        <w:t>t risk for developing breast cancer during her lifetime because she carries the BRCA1 mutation. She only needs a second hit to her other BRCA1</w:t>
      </w:r>
      <w:r w:rsidR="008002FC">
        <w:rPr>
          <w:rFonts w:ascii="Arial" w:hAnsi="Arial"/>
          <w:color w:val="0000FF"/>
        </w:rPr>
        <w:t xml:space="preserve"> allele to lead to </w:t>
      </w:r>
      <w:r w:rsidR="002A128B">
        <w:rPr>
          <w:rFonts w:ascii="Arial" w:hAnsi="Arial"/>
          <w:color w:val="0000FF"/>
        </w:rPr>
        <w:t>malignancy</w:t>
      </w:r>
      <w:r w:rsidR="008002FC">
        <w:rPr>
          <w:rFonts w:ascii="Arial" w:hAnsi="Arial"/>
          <w:color w:val="0000FF"/>
        </w:rPr>
        <w:t>.</w:t>
      </w:r>
    </w:p>
    <w:p w14:paraId="66E838A4" w14:textId="77777777" w:rsidR="002F79EF" w:rsidRDefault="002F79EF" w:rsidP="002712BE">
      <w:pPr>
        <w:pStyle w:val="ListParagraph"/>
        <w:rPr>
          <w:rFonts w:ascii="Arial" w:hAnsi="Arial"/>
          <w:color w:val="0000FF"/>
        </w:rPr>
      </w:pPr>
    </w:p>
    <w:p w14:paraId="75D1CE55" w14:textId="5DE9ED16" w:rsidR="002F79EF" w:rsidRDefault="002F79EF" w:rsidP="002712BE">
      <w:pPr>
        <w:pStyle w:val="ListParagraph"/>
        <w:rPr>
          <w:rFonts w:ascii="Arial" w:hAnsi="Arial"/>
          <w:color w:val="0000FF"/>
        </w:rPr>
      </w:pPr>
      <w:r>
        <w:rPr>
          <w:rFonts w:ascii="Arial" w:hAnsi="Arial"/>
          <w:color w:val="0000FF"/>
        </w:rPr>
        <w:t>To assess the mother’s prognosis, I would tally all of her other SNPs that are associated with an increased or decreased risk of breast cancer as described in the literature. This may help provide a more comprehensive picture of her prognosis. The literature reports several SNPs that are associated with a protective factor in the presence of the BRCA mutation.</w:t>
      </w:r>
      <w:r w:rsidR="00E33780">
        <w:rPr>
          <w:rFonts w:ascii="Arial" w:hAnsi="Arial"/>
          <w:color w:val="0000FF"/>
          <w:vertAlign w:val="superscript"/>
        </w:rPr>
        <w:fldChar w:fldCharType="begin"/>
      </w:r>
      <w:r w:rsidR="00E33780">
        <w:rPr>
          <w:rFonts w:ascii="Arial" w:hAnsi="Arial"/>
          <w:color w:val="0000FF"/>
          <w:vertAlign w:val="superscript"/>
        </w:rPr>
        <w:instrText xml:space="preserve"> ADDIN ZOTERO_ITEM CSL_CITATION {"citationID":"pbofbm3if","properties":{"formattedCitation":"{\\rtf \\super 8\\nosupersub{}}","plainCitation":"8"},"citationItems":[{"id":212,"uris":["http://zotero.org/users/1833444/items/EGB55TFJ"],"uri":["http://zotero.org/users/1833444/items/EGB55TFJ"],"itemData":{"id":212,"type":"article-journal","title":"Genetic modifiers of cancer risk for BRCA1 and BRCA2 mutation carriers","container-title":"Annals of Oncology","page":"i11-i17","volume":"22","issue":"suppl 1","abstract":"Germline mutations in BRCA1 and BRCA2 confer high risks of female breast and ovarian cancer. However, there is strong evidence that these risks are modified by other factors, including familial or genetic factors. Genome-wide association studies have identified several breast cancer genetic susceptibility variants in the general population that are also associated with breast cancer risk for mutation carriers. The patterns of association for these variants vary between BRCA1 and BRCA2 mutation carriers and this variation appears to be driven by their differential associations with breast cancer subtypes defined by estrogen receptor status. We review the latest evidence regarding genetic modifiers of cancer risk for female BRCA1 and BRCA2 mutation carriers emerging from candidate gene studies, variants found in genome-wide association studies (GWAS) to be associated with cancer risk in the general population and GWAS specifically in mutation carriers. We also discuss the implications of these findings for cancer risk prediction in these women. BRCA1 and BRCA2 mutation carriers could potentially be among the first groups of individuals for whom clinically applicable risk profiling could be developed using the common breast cancer susceptibility variants identified through GWAS.","DOI":"10.1093/annonc/mdq660","journalAbbreviation":"Annals of Oncology","author":[{"family":"Milne","given":"R. L."},{"family":"Antoniou","given":"A. C."}],"issued":{"date-parts":[["2011",1,1]]}}}],"schema":"https://github.com/citation-style-language/schema/raw/master/csl-citation.json"} </w:instrText>
      </w:r>
      <w:r w:rsidR="00E33780">
        <w:rPr>
          <w:rFonts w:ascii="Arial" w:hAnsi="Arial"/>
          <w:color w:val="0000FF"/>
          <w:vertAlign w:val="superscript"/>
        </w:rPr>
        <w:fldChar w:fldCharType="separate"/>
      </w:r>
      <w:r w:rsidR="00E33780" w:rsidRPr="00E33780">
        <w:rPr>
          <w:rFonts w:ascii="Arial" w:hAnsi="Arial" w:cs="Arial"/>
          <w:color w:val="0000FF"/>
          <w:vertAlign w:val="superscript"/>
        </w:rPr>
        <w:t>8</w:t>
      </w:r>
      <w:r w:rsidR="00E33780">
        <w:rPr>
          <w:rFonts w:ascii="Arial" w:hAnsi="Arial"/>
          <w:color w:val="0000FF"/>
          <w:vertAlign w:val="superscript"/>
        </w:rPr>
        <w:fldChar w:fldCharType="end"/>
      </w:r>
    </w:p>
    <w:p w14:paraId="2DC98CC9" w14:textId="77777777" w:rsidR="00E33780" w:rsidRDefault="00E33780" w:rsidP="002712BE">
      <w:pPr>
        <w:pStyle w:val="ListParagraph"/>
        <w:rPr>
          <w:rFonts w:ascii="Arial" w:hAnsi="Arial"/>
          <w:color w:val="0000FF"/>
        </w:rPr>
      </w:pPr>
    </w:p>
    <w:p w14:paraId="54E98549" w14:textId="3ED5044F" w:rsidR="00E700DD" w:rsidRPr="00E700DD" w:rsidRDefault="00E33780" w:rsidP="00E700DD">
      <w:pPr>
        <w:pStyle w:val="ListParagraph"/>
        <w:rPr>
          <w:rFonts w:ascii="Arial" w:hAnsi="Arial"/>
          <w:color w:val="0000FF"/>
        </w:rPr>
      </w:pPr>
      <w:r>
        <w:rPr>
          <w:rFonts w:ascii="Arial" w:hAnsi="Arial"/>
          <w:color w:val="0000FF"/>
        </w:rPr>
        <w:t xml:space="preserve">Depending on the mother’s age, a preventative oophorectomy can reduce the risk of breast cancer, and the risk of ovarian cancer (the risk of ovarian </w:t>
      </w:r>
      <w:r>
        <w:rPr>
          <w:rFonts w:ascii="Arial" w:hAnsi="Arial"/>
          <w:color w:val="0000FF"/>
        </w:rPr>
        <w:lastRenderedPageBreak/>
        <w:t>cancer is increased by the mother’s carrier status). Tamoxifen is currently used to treat ER+ breast cancer</w:t>
      </w:r>
      <w:r w:rsidR="00322ED1">
        <w:rPr>
          <w:rFonts w:ascii="Arial" w:hAnsi="Arial"/>
          <w:color w:val="0000FF"/>
        </w:rPr>
        <w:t>, and</w:t>
      </w:r>
      <w:r>
        <w:rPr>
          <w:rFonts w:ascii="Arial" w:hAnsi="Arial"/>
          <w:color w:val="0000FF"/>
        </w:rPr>
        <w:t xml:space="preserve"> is also approved </w:t>
      </w:r>
      <w:r w:rsidR="00322ED1">
        <w:rPr>
          <w:rFonts w:ascii="Arial" w:hAnsi="Arial"/>
          <w:color w:val="0000FF"/>
        </w:rPr>
        <w:t>as chemopreventative measure for high risk premenopausal women (however, it is rarely used). Another option for the mother would be a preventative bilateral mastectomy. This is a permanent and effective measure, though extreme.</w:t>
      </w:r>
      <w:r w:rsidR="00D17E0A">
        <w:rPr>
          <w:rFonts w:ascii="Arial" w:hAnsi="Arial"/>
          <w:color w:val="0000FF"/>
        </w:rPr>
        <w:t xml:space="preserve"> </w:t>
      </w:r>
      <w:r w:rsidR="0041610E">
        <w:rPr>
          <w:rFonts w:ascii="Arial" w:hAnsi="Arial"/>
          <w:color w:val="0000FF"/>
        </w:rPr>
        <w:t>A</w:t>
      </w:r>
      <w:r w:rsidR="00D17E0A">
        <w:rPr>
          <w:rFonts w:ascii="Arial" w:hAnsi="Arial"/>
          <w:color w:val="0000FF"/>
        </w:rPr>
        <w:t>nnual screening may be complementary to these other measures.</w:t>
      </w:r>
      <w:r w:rsidR="00E700DD">
        <w:rPr>
          <w:rFonts w:ascii="Arial" w:hAnsi="Arial"/>
          <w:color w:val="0000FF"/>
        </w:rPr>
        <w:fldChar w:fldCharType="begin"/>
      </w:r>
      <w:r w:rsidR="00E700DD">
        <w:rPr>
          <w:rFonts w:ascii="Arial" w:hAnsi="Arial"/>
          <w:color w:val="0000FF"/>
        </w:rPr>
        <w:instrText xml:space="preserve"> ADDIN ZOTERO_ITEM CSL_CITATION {"citationID":"23ko06d8r5","properties":{"formattedCitation":"{\\rtf \\super 9\\nosupersub{}}","plainCitation":"9"},"citationItems":[{"id":217,"uris":["http://zotero.org/users/1833444/items/44VHU6W8"],"uri":["http://zotero.org/users/1833444/items/44VHU6W8"],"itemData":{"id":217,"type":"article-journal","title":"BRCA mutations in the management of breast cancer: the state of the art","container-title":"Nature Reviews Clinical Oncology","page":"702-707","volume":"7","issue":"12","source":"www.nature.com","abstract":"Genetic testing for BRCA1 and BRCA2 mutations is gaining acceptance in clinical oncology worldwide and may help target unaffected high-risk women for prevention and for close surveillance. Annual screening with MRI seems to be an effective surveillance strategy, but the long term follow-up of women with small MRI-detected breast cancers is necessary to establish its ultimate value. Women with cancer and a BRCA mutation may benefit from tailored treatments, such as cisplatin or olaparib. The treatment goals for a woman with a BRCA-associated breast cancer should be to prevent recurrence of the initial cancer and to prevent second primary breast and ovarian cancers. Mutations in BRCA1 and BRCA2 are presented throughout the world and it is important that the benefits of genetic testing and of targeted therapies be extended to women who live outside of North America and Western Europe.","DOI":"10.1038/nrclinonc.2010.166","ISSN":"1759-4774","shortTitle":"BRCA mutations in the management of breast cancer","journalAbbreviation":"Nat Rev Clin Oncol","language":"en","author":[{"family":"Narod","given":"Steven A."}],"issued":{"date-parts":[["2010",12]]},"accessed":{"date-parts":[["2014",5,23]]}}}],"schema":"https://github.com/citation-style-language/schema/raw/master/csl-citation.json"} </w:instrText>
      </w:r>
      <w:r w:rsidR="00E700DD">
        <w:rPr>
          <w:rFonts w:ascii="Arial" w:hAnsi="Arial"/>
          <w:color w:val="0000FF"/>
        </w:rPr>
        <w:fldChar w:fldCharType="separate"/>
      </w:r>
      <w:r w:rsidR="00E700DD" w:rsidRPr="00E700DD">
        <w:rPr>
          <w:rFonts w:ascii="Arial" w:hAnsi="Arial" w:cs="Arial"/>
          <w:color w:val="0000FF"/>
          <w:vertAlign w:val="superscript"/>
        </w:rPr>
        <w:t>9</w:t>
      </w:r>
      <w:r w:rsidR="00E700DD">
        <w:rPr>
          <w:rFonts w:ascii="Arial" w:hAnsi="Arial"/>
          <w:color w:val="0000FF"/>
        </w:rPr>
        <w:fldChar w:fldCharType="end"/>
      </w:r>
    </w:p>
    <w:p w14:paraId="511A30FF" w14:textId="273C3636" w:rsidR="00070277" w:rsidRPr="00070277" w:rsidRDefault="00E700DD" w:rsidP="00D35FCE">
      <w:pPr>
        <w:pStyle w:val="Bibliography"/>
        <w:tabs>
          <w:tab w:val="clear" w:pos="260"/>
          <w:tab w:val="left" w:pos="720"/>
        </w:tabs>
        <w:ind w:left="720" w:firstLine="0"/>
        <w:rPr>
          <w:rFonts w:ascii="Arial" w:hAnsi="Arial" w:cs="Arial"/>
          <w:color w:val="0000FF"/>
        </w:rPr>
      </w:pPr>
      <w:r>
        <w:rPr>
          <w:rFonts w:ascii="Arial" w:hAnsi="Arial"/>
          <w:color w:val="0000FF"/>
        </w:rPr>
        <w:fldChar w:fldCharType="begin"/>
      </w:r>
      <w:r w:rsidR="009835CD">
        <w:rPr>
          <w:rFonts w:ascii="Arial" w:hAnsi="Arial"/>
          <w:color w:val="0000FF"/>
        </w:rPr>
        <w:instrText xml:space="preserve"> ADDIN ZOTERO_BIBL {"custom":[]} CSL_BIBLIOGRAPHY </w:instrText>
      </w:r>
      <w:r>
        <w:rPr>
          <w:rFonts w:ascii="Arial" w:hAnsi="Arial"/>
          <w:color w:val="0000FF"/>
        </w:rPr>
        <w:fldChar w:fldCharType="separate"/>
      </w:r>
    </w:p>
    <w:p w14:paraId="74D68498" w14:textId="2130FB07" w:rsidR="00070277" w:rsidRPr="00070277" w:rsidRDefault="00D35FCE" w:rsidP="00D35FCE">
      <w:pPr>
        <w:pStyle w:val="Bibliography"/>
        <w:tabs>
          <w:tab w:val="clear" w:pos="260"/>
          <w:tab w:val="left" w:pos="720"/>
        </w:tabs>
        <w:ind w:left="720" w:firstLine="0"/>
        <w:rPr>
          <w:rFonts w:ascii="Arial" w:hAnsi="Arial" w:cs="Arial"/>
          <w:color w:val="0000FF"/>
        </w:rPr>
      </w:pPr>
      <w:r>
        <w:rPr>
          <w:rFonts w:ascii="Arial" w:hAnsi="Arial" w:cs="Arial"/>
          <w:color w:val="0000FF"/>
        </w:rPr>
        <w:t>8.</w:t>
      </w:r>
      <w:r w:rsidR="00070277" w:rsidRPr="00070277">
        <w:rPr>
          <w:rFonts w:ascii="Arial" w:hAnsi="Arial" w:cs="Arial"/>
          <w:color w:val="0000FF"/>
        </w:rPr>
        <w:t xml:space="preserve">Milne, R. L. &amp; Antoniou, A. C. Genetic modifiers of cancer risk for BRCA1 and BRCA2 mutation carriers. </w:t>
      </w:r>
      <w:r w:rsidR="00070277" w:rsidRPr="00070277">
        <w:rPr>
          <w:rFonts w:ascii="Arial" w:hAnsi="Arial" w:cs="Arial"/>
          <w:i/>
          <w:iCs/>
          <w:color w:val="0000FF"/>
        </w:rPr>
        <w:t>Ann. Oncol.</w:t>
      </w:r>
      <w:r w:rsidR="00070277" w:rsidRPr="00070277">
        <w:rPr>
          <w:rFonts w:ascii="Arial" w:hAnsi="Arial" w:cs="Arial"/>
          <w:color w:val="0000FF"/>
        </w:rPr>
        <w:t xml:space="preserve"> </w:t>
      </w:r>
      <w:r w:rsidR="00070277" w:rsidRPr="00070277">
        <w:rPr>
          <w:rFonts w:ascii="Arial" w:hAnsi="Arial" w:cs="Arial"/>
          <w:b/>
          <w:bCs/>
          <w:color w:val="0000FF"/>
        </w:rPr>
        <w:t>22,</w:t>
      </w:r>
      <w:r w:rsidR="00070277" w:rsidRPr="00070277">
        <w:rPr>
          <w:rFonts w:ascii="Arial" w:hAnsi="Arial" w:cs="Arial"/>
          <w:color w:val="0000FF"/>
        </w:rPr>
        <w:t xml:space="preserve"> i11–i17 (2011).</w:t>
      </w:r>
    </w:p>
    <w:p w14:paraId="64A9B2E1" w14:textId="7916900D" w:rsidR="00070277" w:rsidRPr="00070277" w:rsidRDefault="00D35FCE" w:rsidP="00D35FCE">
      <w:pPr>
        <w:pStyle w:val="Bibliography"/>
        <w:tabs>
          <w:tab w:val="clear" w:pos="260"/>
          <w:tab w:val="left" w:pos="720"/>
        </w:tabs>
        <w:ind w:left="720" w:firstLine="0"/>
        <w:rPr>
          <w:rFonts w:ascii="Arial" w:hAnsi="Arial" w:cs="Arial"/>
          <w:color w:val="0000FF"/>
        </w:rPr>
      </w:pPr>
      <w:r>
        <w:rPr>
          <w:rFonts w:ascii="Arial" w:hAnsi="Arial" w:cs="Arial"/>
          <w:color w:val="0000FF"/>
        </w:rPr>
        <w:t>9.</w:t>
      </w:r>
      <w:r w:rsidR="00070277" w:rsidRPr="00070277">
        <w:rPr>
          <w:rFonts w:ascii="Arial" w:hAnsi="Arial" w:cs="Arial"/>
          <w:color w:val="0000FF"/>
        </w:rPr>
        <w:t xml:space="preserve">Narod, S. A. BRCA mutations in the management of breast cancer: the state of the art. </w:t>
      </w:r>
      <w:r w:rsidR="00070277" w:rsidRPr="00070277">
        <w:rPr>
          <w:rFonts w:ascii="Arial" w:hAnsi="Arial" w:cs="Arial"/>
          <w:i/>
          <w:iCs/>
          <w:color w:val="0000FF"/>
        </w:rPr>
        <w:t>Nat. Rev. Clin. Oncol.</w:t>
      </w:r>
      <w:r w:rsidR="00070277" w:rsidRPr="00070277">
        <w:rPr>
          <w:rFonts w:ascii="Arial" w:hAnsi="Arial" w:cs="Arial"/>
          <w:color w:val="0000FF"/>
        </w:rPr>
        <w:t xml:space="preserve"> </w:t>
      </w:r>
      <w:r w:rsidR="00070277" w:rsidRPr="00070277">
        <w:rPr>
          <w:rFonts w:ascii="Arial" w:hAnsi="Arial" w:cs="Arial"/>
          <w:b/>
          <w:bCs/>
          <w:color w:val="0000FF"/>
        </w:rPr>
        <w:t>7,</w:t>
      </w:r>
      <w:r w:rsidR="00070277" w:rsidRPr="00070277">
        <w:rPr>
          <w:rFonts w:ascii="Arial" w:hAnsi="Arial" w:cs="Arial"/>
          <w:color w:val="0000FF"/>
        </w:rPr>
        <w:t xml:space="preserve"> 702–707 (2010).</w:t>
      </w:r>
    </w:p>
    <w:p w14:paraId="2DDE85F5" w14:textId="5AF5940E" w:rsidR="00E700DD" w:rsidRPr="00D17E0A" w:rsidRDefault="00E700DD" w:rsidP="00D35FCE">
      <w:pPr>
        <w:pStyle w:val="ListParagraph"/>
        <w:tabs>
          <w:tab w:val="left" w:pos="720"/>
        </w:tabs>
        <w:rPr>
          <w:rFonts w:ascii="Arial" w:hAnsi="Arial"/>
          <w:color w:val="0000FF"/>
        </w:rPr>
      </w:pPr>
      <w:r>
        <w:rPr>
          <w:rFonts w:ascii="Arial" w:hAnsi="Arial"/>
          <w:color w:val="0000FF"/>
        </w:rPr>
        <w:fldChar w:fldCharType="end"/>
      </w:r>
    </w:p>
    <w:p w14:paraId="6994F16C" w14:textId="77777777" w:rsidR="002712BE" w:rsidRPr="00E700DD" w:rsidRDefault="002712BE" w:rsidP="00E700DD">
      <w:pPr>
        <w:rPr>
          <w:rFonts w:ascii="Arial" w:hAnsi="Arial"/>
          <w:i/>
        </w:rPr>
      </w:pPr>
    </w:p>
    <w:p w14:paraId="11FEA194" w14:textId="77777777"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14:paraId="708964C2" w14:textId="77777777" w:rsidR="002450BF" w:rsidRPr="00A8454B" w:rsidRDefault="002450BF" w:rsidP="002712BE">
      <w:pPr>
        <w:rPr>
          <w:rFonts w:ascii="Arial" w:hAnsi="Arial"/>
        </w:rPr>
      </w:pPr>
    </w:p>
    <w:p w14:paraId="0E88A453" w14:textId="0B1F363F" w:rsidR="007F4ACB" w:rsidRPr="00EA0CBE" w:rsidRDefault="00E700DD" w:rsidP="00EA0CBE">
      <w:pPr>
        <w:ind w:left="360"/>
        <w:rPr>
          <w:rFonts w:ascii="Arial" w:hAnsi="Arial"/>
          <w:color w:val="0000FF"/>
        </w:rPr>
      </w:pPr>
      <w:r w:rsidRPr="00E700DD">
        <w:rPr>
          <w:rFonts w:ascii="Arial" w:hAnsi="Arial"/>
          <w:color w:val="0000FF"/>
        </w:rPr>
        <w:lastRenderedPageBreak/>
        <w:t>T</w:t>
      </w:r>
      <w:r>
        <w:rPr>
          <w:rFonts w:ascii="Arial" w:hAnsi="Arial"/>
          <w:color w:val="0000FF"/>
        </w:rPr>
        <w:t xml:space="preserve">he daughter does not carry any of the alleles associated with a major increase in breast cancer risk, though she may carry some lower-penetrance risk alleles. She should </w:t>
      </w:r>
      <w:r w:rsidR="00367CF9">
        <w:rPr>
          <w:rFonts w:ascii="Arial" w:hAnsi="Arial"/>
          <w:color w:val="0000FF"/>
        </w:rPr>
        <w:t>follow screening guidelines for the general population which include self exams and screening at the age of 40.</w:t>
      </w:r>
    </w:p>
    <w:p w14:paraId="2B14CC4F" w14:textId="77777777" w:rsidR="007F4ACB" w:rsidRPr="00A8454B" w:rsidRDefault="007F4ACB" w:rsidP="002712BE">
      <w:pPr>
        <w:rPr>
          <w:rFonts w:ascii="Arial" w:hAnsi="Arial"/>
        </w:rPr>
      </w:pPr>
    </w:p>
    <w:p w14:paraId="57EEC977" w14:textId="77777777" w:rsidR="006E10B2"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4D0D76">
        <w:rPr>
          <w:rFonts w:ascii="Arial" w:hAnsi="Arial"/>
          <w:i/>
        </w:rPr>
        <w:t>8</w:t>
      </w:r>
      <w:r w:rsidR="00B95AFC" w:rsidRPr="00A8454B">
        <w:rPr>
          <w:rFonts w:ascii="Arial" w:hAnsi="Arial"/>
          <w:i/>
        </w:rPr>
        <w:t xml:space="preserve"> points)</w:t>
      </w:r>
      <w:r w:rsidR="006E10B2" w:rsidRPr="00A8454B">
        <w:rPr>
          <w:rFonts w:ascii="Arial" w:hAnsi="Arial"/>
        </w:rPr>
        <w:br/>
      </w:r>
    </w:p>
    <w:p w14:paraId="39E94806" w14:textId="457CDC8E" w:rsidR="00C5576F" w:rsidRDefault="00DF3633" w:rsidP="002712BE">
      <w:pPr>
        <w:rPr>
          <w:rFonts w:ascii="Arial" w:hAnsi="Arial"/>
          <w:color w:val="0000FF"/>
        </w:rPr>
      </w:pPr>
      <w:r w:rsidRPr="00C5576F">
        <w:rPr>
          <w:rFonts w:ascii="Arial" w:hAnsi="Arial"/>
          <w:color w:val="0000FF"/>
        </w:rPr>
        <w:t>A clinically calculated dose (using information like weight, height, age, etc.) would give him 39.37 mg/wk. However, a clinic that does genetic testing would adjust his dose based on genetic information about his VKORC and CYP2C alleles. This clinic would only estimate his dose at 24.74 mg/wk—a significant</w:t>
      </w:r>
      <w:r w:rsidR="00C5576F">
        <w:rPr>
          <w:rFonts w:ascii="Arial" w:hAnsi="Arial"/>
          <w:color w:val="0000FF"/>
        </w:rPr>
        <w:t>ly</w:t>
      </w:r>
      <w:r w:rsidRPr="00C5576F">
        <w:rPr>
          <w:rFonts w:ascii="Arial" w:hAnsi="Arial"/>
          <w:color w:val="0000FF"/>
        </w:rPr>
        <w:t xml:space="preserve"> different from the dose estimating using non-genetic factors alone.</w:t>
      </w:r>
    </w:p>
    <w:p w14:paraId="62260D46" w14:textId="77777777" w:rsidR="00C5576F" w:rsidRDefault="00C5576F" w:rsidP="002712BE">
      <w:pPr>
        <w:rPr>
          <w:rFonts w:ascii="Arial" w:hAnsi="Arial"/>
          <w:color w:val="0000FF"/>
        </w:rPr>
      </w:pPr>
    </w:p>
    <w:p w14:paraId="68D82087" w14:textId="332C52AB" w:rsidR="00C5576F" w:rsidRPr="00C5576F" w:rsidRDefault="00C5576F" w:rsidP="002712BE">
      <w:pPr>
        <w:rPr>
          <w:rFonts w:ascii="Arial" w:hAnsi="Arial"/>
          <w:color w:val="0000FF"/>
        </w:rPr>
      </w:pPr>
      <w:r>
        <w:rPr>
          <w:rFonts w:ascii="Arial" w:hAnsi="Arial"/>
          <w:color w:val="0000FF"/>
        </w:rPr>
        <w:t xml:space="preserve">Warfarin has a known narrow therapeutic index and a patient’s dose must be carefully titrated. There are three known genes associated with warfarin dose: CYP2C9, VKORC1 and CYP4F2. </w:t>
      </w:r>
      <w:r w:rsidR="00691BC6">
        <w:rPr>
          <w:rFonts w:ascii="Arial" w:hAnsi="Arial"/>
          <w:color w:val="0000FF"/>
        </w:rPr>
        <w:t>CYP29C is involved in warfarin metabolism—a variant of this protein that changes the metabolism rate will affect the amount of active drug in the body and therefore, affect the dose needed to maintain therapeutic levels. Similarly, VKORC1 is vitamin K epoxide reductase</w:t>
      </w:r>
      <w:r w:rsidR="00A11C16">
        <w:rPr>
          <w:rFonts w:ascii="Arial" w:hAnsi="Arial"/>
          <w:color w:val="0000FF"/>
        </w:rPr>
        <w:t xml:space="preserve"> which is responsible for activating Vitamin K</w:t>
      </w:r>
      <w:r w:rsidR="00691BC6">
        <w:rPr>
          <w:rFonts w:ascii="Arial" w:hAnsi="Arial"/>
          <w:color w:val="0000FF"/>
        </w:rPr>
        <w:t>.</w:t>
      </w:r>
      <w:r w:rsidR="00F20C4F">
        <w:rPr>
          <w:rFonts w:ascii="Arial" w:hAnsi="Arial"/>
          <w:color w:val="0000FF"/>
        </w:rPr>
        <w:t xml:space="preserve"> Vitamin K is required for proper coagulation</w:t>
      </w:r>
      <w:r w:rsidR="009D574D">
        <w:rPr>
          <w:rFonts w:ascii="Arial" w:hAnsi="Arial"/>
          <w:color w:val="0000FF"/>
        </w:rPr>
        <w:t xml:space="preserve"> and opposes the activity of warfarin.</w:t>
      </w:r>
      <w:r w:rsidR="00691BC6">
        <w:rPr>
          <w:rFonts w:ascii="Arial" w:hAnsi="Arial"/>
          <w:color w:val="0000FF"/>
        </w:rPr>
        <w:t xml:space="preserve"> </w:t>
      </w:r>
      <w:r w:rsidR="00F20C4F">
        <w:rPr>
          <w:rFonts w:ascii="Arial" w:hAnsi="Arial"/>
          <w:color w:val="0000FF"/>
        </w:rPr>
        <w:t xml:space="preserve">Warfarin </w:t>
      </w:r>
      <w:r w:rsidR="009D574D">
        <w:rPr>
          <w:rFonts w:ascii="Arial" w:hAnsi="Arial"/>
          <w:color w:val="0000FF"/>
        </w:rPr>
        <w:t>in an antagonist of VKORC1 and so variants of VKORC1 that make it more of less sensitive to Warfarin will also change the dose needed to see the therapeutic effect.</w:t>
      </w:r>
    </w:p>
    <w:p w14:paraId="510411B5" w14:textId="71A14386" w:rsidR="006E10B2" w:rsidRPr="00A8454B" w:rsidRDefault="006E10B2" w:rsidP="002712BE">
      <w:pPr>
        <w:rPr>
          <w:rFonts w:ascii="Arial" w:hAnsi="Arial"/>
        </w:rPr>
      </w:pPr>
    </w:p>
    <w:p w14:paraId="242831FC"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4D0D76">
        <w:rPr>
          <w:rFonts w:ascii="Arial" w:hAnsi="Arial"/>
          <w:i/>
        </w:rPr>
        <w:t>7</w:t>
      </w:r>
      <w:r w:rsidR="00B95AFC" w:rsidRPr="00A8454B">
        <w:rPr>
          <w:rFonts w:ascii="Arial" w:hAnsi="Arial"/>
          <w:i/>
        </w:rPr>
        <w:t xml:space="preserve"> points)</w:t>
      </w:r>
    </w:p>
    <w:p w14:paraId="3512533C" w14:textId="77777777" w:rsidR="006E10B2" w:rsidRDefault="006E10B2" w:rsidP="002712BE">
      <w:pPr>
        <w:rPr>
          <w:rFonts w:ascii="Arial" w:hAnsi="Arial"/>
        </w:rPr>
      </w:pPr>
    </w:p>
    <w:p w14:paraId="5C187FE8" w14:textId="4242D43C" w:rsidR="001B71BC" w:rsidRDefault="001B71BC" w:rsidP="001B71BC">
      <w:pPr>
        <w:rPr>
          <w:rFonts w:ascii="Arial" w:hAnsi="Arial"/>
          <w:color w:val="0000FF"/>
        </w:rPr>
      </w:pPr>
      <w:r w:rsidRPr="00FC114D">
        <w:rPr>
          <w:rFonts w:ascii="Arial" w:hAnsi="Arial"/>
          <w:color w:val="0000FF"/>
        </w:rPr>
        <w:t xml:space="preserve">When considering prescribing Simvastatin, we need to look at the rs4149056 SNP </w:t>
      </w:r>
      <w:r w:rsidR="00B04D31" w:rsidRPr="00FC114D">
        <w:rPr>
          <w:rFonts w:ascii="Arial" w:hAnsi="Arial"/>
          <w:color w:val="0000FF"/>
        </w:rPr>
        <w:t>associated with SLC</w:t>
      </w:r>
      <w:r w:rsidR="008720B2" w:rsidRPr="00FC114D">
        <w:rPr>
          <w:rFonts w:ascii="Arial" w:hAnsi="Arial"/>
          <w:color w:val="0000FF"/>
        </w:rPr>
        <w:t>0</w:t>
      </w:r>
      <w:r w:rsidR="00B04D31" w:rsidRPr="00FC114D">
        <w:rPr>
          <w:rFonts w:ascii="Arial" w:hAnsi="Arial"/>
          <w:color w:val="0000FF"/>
        </w:rPr>
        <w:t xml:space="preserve">1b1. </w:t>
      </w:r>
      <w:r w:rsidR="008720B2" w:rsidRPr="00FC114D">
        <w:rPr>
          <w:rFonts w:ascii="Arial" w:hAnsi="Arial"/>
          <w:color w:val="0000FF"/>
        </w:rPr>
        <w:t>SLC01B1 is found in the liver an influences the serum concentration of simvastatin. The mother is CC at this SNP putting her at risk of simvastatin intolerance and myopathy.</w:t>
      </w:r>
    </w:p>
    <w:p w14:paraId="6A158E99" w14:textId="77777777" w:rsidR="00FC114D" w:rsidRDefault="00FC114D" w:rsidP="001B71BC">
      <w:pPr>
        <w:rPr>
          <w:rFonts w:ascii="Arial" w:hAnsi="Arial"/>
          <w:color w:val="0000FF"/>
        </w:rPr>
      </w:pPr>
    </w:p>
    <w:p w14:paraId="22E70981" w14:textId="79A2C23A" w:rsidR="006E10B2" w:rsidRPr="00D35FCE" w:rsidRDefault="00FC114D" w:rsidP="002712BE">
      <w:pPr>
        <w:rPr>
          <w:rFonts w:ascii="Times" w:eastAsia="Times New Roman" w:hAnsi="Times" w:cs="Times New Roman"/>
          <w:color w:val="0000FF"/>
          <w:sz w:val="20"/>
          <w:szCs w:val="20"/>
        </w:rPr>
      </w:pPr>
      <w:r>
        <w:rPr>
          <w:rFonts w:ascii="Arial" w:hAnsi="Arial"/>
          <w:color w:val="0000FF"/>
        </w:rPr>
        <w:t>I would recommend considering another statin, for example atorvastatin, which does not have the same association with her genotype.</w:t>
      </w:r>
      <w:r w:rsidR="00F717C6">
        <w:rPr>
          <w:rFonts w:ascii="Arial" w:hAnsi="Arial"/>
          <w:color w:val="0000FF"/>
        </w:rPr>
        <w:t xml:space="preserve"> If for some reason, she cannot take another statin, I would start her at a fairly low dose and adjust as appropriate while serially monitoring creatine kinase to identify myopathy as soon as possible.</w:t>
      </w:r>
      <w:r w:rsidR="00D35FCE">
        <w:rPr>
          <w:rFonts w:ascii="Times" w:eastAsia="Times New Roman" w:hAnsi="Times" w:cs="Times New Roman"/>
          <w:color w:val="0000FF"/>
          <w:sz w:val="20"/>
          <w:szCs w:val="20"/>
        </w:rPr>
        <w:t xml:space="preserve"> </w:t>
      </w:r>
      <w:hyperlink r:id="rId6" w:history="1">
        <w:r w:rsidR="00704DDE" w:rsidRPr="008A5547">
          <w:rPr>
            <w:rStyle w:val="Hyperlink"/>
            <w:rFonts w:ascii="Arial" w:hAnsi="Arial"/>
          </w:rPr>
          <w:t>https://www.pharmgkb.org/drug/PA451363</w:t>
        </w:r>
      </w:hyperlink>
    </w:p>
    <w:p w14:paraId="14646492" w14:textId="77777777"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6A72EC2F"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14:paraId="2DFCDBFC" w14:textId="77777777" w:rsidR="009B1244" w:rsidRDefault="009B1244" w:rsidP="003C51F6">
      <w:pPr>
        <w:ind w:left="360"/>
        <w:rPr>
          <w:rFonts w:ascii="Arial" w:hAnsi="Arial" w:cs="Arial"/>
          <w:color w:val="0000FF"/>
        </w:rPr>
      </w:pPr>
    </w:p>
    <w:p w14:paraId="55DBBB49" w14:textId="6CEBD2A4" w:rsidR="002712BE" w:rsidRDefault="003C51F6" w:rsidP="003C51F6">
      <w:pPr>
        <w:ind w:left="360"/>
        <w:rPr>
          <w:rFonts w:ascii="Arial" w:hAnsi="Arial" w:cs="Arial"/>
          <w:color w:val="0000FF"/>
        </w:rPr>
      </w:pPr>
      <w:r>
        <w:rPr>
          <w:rFonts w:ascii="Arial" w:hAnsi="Arial" w:cs="Arial"/>
          <w:color w:val="0000FF"/>
        </w:rPr>
        <w:t>As a</w:t>
      </w:r>
      <w:r w:rsidR="00F078C7">
        <w:rPr>
          <w:rFonts w:ascii="Arial" w:hAnsi="Arial" w:cs="Arial"/>
          <w:color w:val="0000FF"/>
        </w:rPr>
        <w:t>n</w:t>
      </w:r>
      <w:r>
        <w:rPr>
          <w:rFonts w:ascii="Arial" w:hAnsi="Arial" w:cs="Arial"/>
          <w:color w:val="0000FF"/>
        </w:rPr>
        <w:t xml:space="preserve"> individual of non-hispanic European ancestry, the daughter’s pre-test risk is approximately </w:t>
      </w:r>
      <w:r w:rsidR="009B1244">
        <w:rPr>
          <w:rFonts w:ascii="Arial" w:hAnsi="Arial" w:cs="Arial"/>
          <w:color w:val="0000FF"/>
        </w:rPr>
        <w:t>23.7%</w:t>
      </w:r>
      <w:r>
        <w:rPr>
          <w:rFonts w:ascii="Arial" w:hAnsi="Arial" w:cs="Arial"/>
          <w:color w:val="0000FF"/>
        </w:rPr>
        <w:t xml:space="preserve">. </w:t>
      </w:r>
    </w:p>
    <w:p w14:paraId="69ACD528" w14:textId="77777777" w:rsidR="002712BE" w:rsidRPr="002712BE" w:rsidRDefault="002712BE" w:rsidP="009B1244">
      <w:pPr>
        <w:rPr>
          <w:rFonts w:ascii="Arial" w:hAnsi="Arial" w:cs="Arial"/>
          <w:i/>
          <w:color w:val="000000"/>
        </w:rPr>
      </w:pPr>
    </w:p>
    <w:p w14:paraId="267A401E"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r w:rsidR="009A3E01">
        <w:rPr>
          <w:rFonts w:ascii="Arial" w:hAnsi="Arial" w:cs="Arial"/>
          <w:color w:val="000000"/>
        </w:rPr>
        <w:t>Genotation</w:t>
      </w:r>
      <w:r w:rsidRPr="002712BE">
        <w:rPr>
          <w:rFonts w:ascii="Arial" w:hAnsi="Arial" w:cs="Arial"/>
          <w:color w:val="000000"/>
        </w:rPr>
        <w:t>?</w:t>
      </w:r>
    </w:p>
    <w:p w14:paraId="3AFA778B" w14:textId="77777777" w:rsidR="002712BE" w:rsidRDefault="002712BE" w:rsidP="009B1244">
      <w:pPr>
        <w:ind w:left="360"/>
        <w:rPr>
          <w:rFonts w:ascii="Arial" w:hAnsi="Arial" w:cs="Arial"/>
          <w:color w:val="0000FF"/>
        </w:rPr>
      </w:pPr>
    </w:p>
    <w:p w14:paraId="58901681" w14:textId="2ABC4967" w:rsidR="009B1244" w:rsidRPr="009B1244" w:rsidRDefault="009B1244" w:rsidP="009B1244">
      <w:pPr>
        <w:ind w:left="360"/>
        <w:rPr>
          <w:rFonts w:ascii="Arial" w:hAnsi="Arial" w:cs="Arial"/>
          <w:color w:val="0000FF"/>
        </w:rPr>
      </w:pPr>
      <w:r>
        <w:rPr>
          <w:rFonts w:ascii="Arial" w:hAnsi="Arial" w:cs="Arial"/>
          <w:color w:val="0000FF"/>
        </w:rPr>
        <w:t>44.206%</w:t>
      </w:r>
    </w:p>
    <w:p w14:paraId="35C8F5A0" w14:textId="77777777" w:rsidR="002712BE" w:rsidRPr="002712BE" w:rsidRDefault="002712BE" w:rsidP="002712BE">
      <w:pPr>
        <w:rPr>
          <w:rFonts w:ascii="Arial" w:hAnsi="Arial" w:cs="Arial"/>
          <w:i/>
          <w:color w:val="000000"/>
        </w:rPr>
      </w:pPr>
    </w:p>
    <w:p w14:paraId="7983C4B4" w14:textId="77777777" w:rsidR="002712BE" w:rsidRPr="009B1244"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14:paraId="1458B589" w14:textId="77777777" w:rsidR="009B1244" w:rsidRDefault="009B1244" w:rsidP="009B1244">
      <w:pPr>
        <w:rPr>
          <w:rFonts w:ascii="Arial" w:hAnsi="Arial" w:cs="Arial"/>
          <w:i/>
          <w:color w:val="000000"/>
        </w:rPr>
      </w:pPr>
    </w:p>
    <w:p w14:paraId="67A1F997" w14:textId="766A42D9" w:rsidR="009B1244" w:rsidRPr="009B1244" w:rsidRDefault="009B1244" w:rsidP="009B1244">
      <w:pPr>
        <w:ind w:left="360"/>
        <w:rPr>
          <w:rFonts w:ascii="Arial" w:hAnsi="Arial" w:cs="Arial"/>
          <w:color w:val="0000FF"/>
        </w:rPr>
      </w:pPr>
      <w:r>
        <w:rPr>
          <w:rFonts w:ascii="Arial" w:hAnsi="Arial" w:cs="Arial"/>
          <w:color w:val="0000FF"/>
        </w:rPr>
        <w:t>15 SNPs were used.</w:t>
      </w:r>
    </w:p>
    <w:p w14:paraId="502A5B9C" w14:textId="77777777" w:rsidR="002712BE" w:rsidRPr="00D35FCE" w:rsidRDefault="002712BE" w:rsidP="00D35FCE">
      <w:pPr>
        <w:rPr>
          <w:rFonts w:ascii="Arial" w:hAnsi="Arial" w:cs="Arial"/>
          <w:i/>
          <w:color w:val="000000"/>
        </w:rPr>
      </w:pPr>
    </w:p>
    <w:p w14:paraId="0409404C"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14:paraId="71F4682B" w14:textId="77777777" w:rsidR="002712BE" w:rsidRDefault="002712BE" w:rsidP="009B1244">
      <w:pPr>
        <w:ind w:left="360"/>
        <w:rPr>
          <w:rFonts w:ascii="Arial" w:hAnsi="Arial" w:cs="Arial"/>
          <w:color w:val="000000"/>
        </w:rPr>
      </w:pPr>
    </w:p>
    <w:p w14:paraId="65937D62" w14:textId="51C41814" w:rsidR="009B1244" w:rsidRDefault="009B1244" w:rsidP="009B1244">
      <w:pPr>
        <w:ind w:left="360"/>
        <w:rPr>
          <w:rFonts w:ascii="Arial" w:hAnsi="Arial" w:cs="Arial"/>
          <w:color w:val="0000FF"/>
        </w:rPr>
      </w:pPr>
      <w:r>
        <w:rPr>
          <w:rFonts w:ascii="Arial" w:hAnsi="Arial" w:cs="Arial"/>
          <w:color w:val="0000FF"/>
        </w:rPr>
        <w:t>The SNPs were combined to give the overall score using a method mod</w:t>
      </w:r>
      <w:r w:rsidR="009835CD">
        <w:rPr>
          <w:rFonts w:ascii="Arial" w:hAnsi="Arial" w:cs="Arial"/>
          <w:color w:val="0000FF"/>
        </w:rPr>
        <w:t>eled off of Ashley et al</w:t>
      </w:r>
      <w:r>
        <w:rPr>
          <w:rFonts w:ascii="Arial" w:hAnsi="Arial" w:cs="Arial"/>
          <w:color w:val="0000FF"/>
        </w:rPr>
        <w:t>.</w:t>
      </w:r>
      <w:r w:rsidR="009835CD">
        <w:rPr>
          <w:rFonts w:ascii="Arial" w:hAnsi="Arial" w:cs="Arial"/>
          <w:color w:val="0000FF"/>
        </w:rPr>
        <w:fldChar w:fldCharType="begin"/>
      </w:r>
      <w:r w:rsidR="009835CD">
        <w:rPr>
          <w:rFonts w:ascii="Arial" w:hAnsi="Arial" w:cs="Arial"/>
          <w:color w:val="0000FF"/>
        </w:rPr>
        <w:instrText xml:space="preserve"> ADDIN ZOTERO_ITEM CSL_CITATION {"citationID":"1tj9v61bel","properties":{"formattedCitation":"{\\rtf \\super 10\\nosupersub{}}","plainCitation":"10"},"citationItems":[{"id":218,"uris":["http://zotero.org/users/1833444/items/5HPTAP5V"],"uri":["http://zotero.org/users/1833444/items/5HPTAP5V"],"itemData":{"id":218,"type":"article-journal","title":"Clinical assessment incorporating a personal genome","container-title":"Lancet","page":"1525-1535","volume":"375","issue":"9725","source":"NCBI PubMed","abstract":"BACKGROUND: The cost of genomic information has fallen steeply, but the clinical translation of genetic risk estimates remains unclear. We aimed to undertake an integrated analysis of a complete human genome in a clinical context.\nMETHODS: We assessed a patient with a family history of vascular disease and early sudden death. Clinical assessment included analysis of this patient's full genome sequence, risk prediction for coronary artery disease, screening for causes of sudden cardiac death, and genetic counselling. Genetic analysis included the development of novel methods for the integration of whole genome and clinical risk. Disease and risk analysis focused on prediction of genetic risk of variants associated with mendelian disease, recognised drug responses, and pathogenicity for novel variants. We queried disease-specific mutation databases and pharmacogenomics databases to identify genes and mutations with known associations with disease and drug response. We estimated post-test probabilities of disease by applying likelihood ratios derived from integration of multiple common variants to age-appropriate and sex-appropriate pre-test probabilities. We also accounted for gene-environment interactions and conditionally dependent risks.\nFINDINGS: Analysis of 2.6 million single nucleotide polymorphisms and 752 copy number variations showed increased genetic risk for myocardial infarction, type 2 diabetes, and some cancers. We discovered rare variants in three genes that are clinically associated with sudden cardiac death-TMEM43, DSP, and MYBPC3. A variant in LPA was consistent with a family history of coronary artery disease. The patient had a heterozygous null mutation in CYP2C19 suggesting probable clopidogrel resistance, several variants associated with a positive response to lipid-lowering therapy, and variants in CYP4F2 and VKORC1 that suggest he might have a low initial dosing requirement for warfarin. Many variants of uncertain importance were reported.\nINTERPRETATION: Although challenges remain, our results suggest that whole-genome sequencing can yield useful and clinically relevant information for individual patients.\nFUNDING: National Institute of General Medical Sciences; National Heart, Lung And Blood Institute; National Human Genome Research Institute; Howard Hughes Medical Institute; National Library of Medicine, Lucile Packard Foundation for Children's Health; Hewlett Packard Foundation; Breetwor Family Foundation.","DOI":"10.1016/S0140-6736(10)60452-7","ISSN":"1474-547X","note":"PMID: 20435227 \nPMCID: PMC2937184","journalAbbreviation":"Lancet","language":"eng","author":[{"family":"Ashley","given":"Euan A"},{"family":"Butte","given":"Atul J"},{"family":"Wheeler","given":"Matthew T"},{"family":"Chen","given":"Rong"},{"family":"Klein","given":"Teri E"},{"family":"Dewey","given":"Frederick E"},{"family":"Dudley","given":"Joel T"},{"family":"Ormond","given":"Kelly E"},{"family":"Pavlovic","given":"Aleksandra"},{"family":"Morgan","given":"Alexander A"},{"family":"Pushkarev","given":"Dmitry"},{"family":"Neff","given":"Norma F"},{"family":"Hudgins","given":"Louanne"},{"family":"Gong","given":"Li"},{"family":"Hodges","given":"Laura M"},{"family":"Berlin","given":"Dorit S"},{"family":"Thorn","given":"Caroline F"},{"family":"Sangkuhl","given":"Katrin"},{"family":"Hebert","given":"Joan M"},{"family":"Woon","given":"Mark"},{"family":"Sagreiya","given":"Hersh"},{"family":"Whaley","given":"Ryan"},{"family":"Knowles","given":"Joshua W"},{"family":"Chou","given":"Michael F"},{"family":"Thakuria","given":"Joseph V"},{"family":"Rosenbaum","given":"Abraham M"},{"family":"Zaranek","given":"Alexander Wait"},{"family":"Church","given":"George M"},{"family":"Greely","given":"Henry T"},{"family":"Quake","given":"Stephen R"},{"family":"Altman","given":"Russ B"}],"issued":{"date-parts":[["2010",5,1]]},"PMID":"20435227","PMCID":"PMC2937184"}}],"schema":"https://github.com/citation-style-language/schema/raw/master/csl-citation.json"} </w:instrText>
      </w:r>
      <w:r w:rsidR="009835CD">
        <w:rPr>
          <w:rFonts w:ascii="Arial" w:hAnsi="Arial" w:cs="Arial"/>
          <w:color w:val="0000FF"/>
        </w:rPr>
        <w:fldChar w:fldCharType="separate"/>
      </w:r>
      <w:r w:rsidR="009835CD" w:rsidRPr="009835CD">
        <w:rPr>
          <w:rFonts w:ascii="Arial" w:hAnsi="Arial" w:cs="Arial"/>
          <w:color w:val="0000FF"/>
          <w:vertAlign w:val="superscript"/>
        </w:rPr>
        <w:t>10</w:t>
      </w:r>
      <w:r w:rsidR="009835CD">
        <w:rPr>
          <w:rFonts w:ascii="Arial" w:hAnsi="Arial" w:cs="Arial"/>
          <w:color w:val="0000FF"/>
        </w:rPr>
        <w:fldChar w:fldCharType="end"/>
      </w:r>
      <w:r w:rsidR="009835CD">
        <w:rPr>
          <w:rFonts w:ascii="Arial" w:hAnsi="Arial" w:cs="Arial"/>
          <w:color w:val="0000FF"/>
        </w:rPr>
        <w:t xml:space="preserve"> Likelihood ratios for each SNP were acquired and then </w:t>
      </w:r>
      <w:r w:rsidR="00061B6B">
        <w:rPr>
          <w:rFonts w:ascii="Arial" w:hAnsi="Arial" w:cs="Arial"/>
          <w:color w:val="0000FF"/>
        </w:rPr>
        <w:t xml:space="preserve">multiplied by the prior probability which was calculated based on the appropriate reference population (European). This was done in for all the SNPs to obtain posterior likelihood ratios. </w:t>
      </w:r>
      <w:r w:rsidR="00D4179B">
        <w:rPr>
          <w:rFonts w:ascii="Arial" w:hAnsi="Arial" w:cs="Arial"/>
          <w:color w:val="0000FF"/>
        </w:rPr>
        <w:t>The likelihood ratio was then converted to a probability.</w:t>
      </w:r>
    </w:p>
    <w:p w14:paraId="7D0D56A2" w14:textId="77777777" w:rsidR="00EC732B" w:rsidRDefault="00EC732B" w:rsidP="009B1244">
      <w:pPr>
        <w:ind w:left="360"/>
        <w:rPr>
          <w:rFonts w:ascii="Arial" w:hAnsi="Arial" w:cs="Arial"/>
          <w:color w:val="0000FF"/>
        </w:rPr>
      </w:pPr>
    </w:p>
    <w:p w14:paraId="03C16F7B" w14:textId="77F953CB" w:rsidR="00EC732B" w:rsidRDefault="00EC732B" w:rsidP="009B1244">
      <w:pPr>
        <w:ind w:left="360"/>
        <w:rPr>
          <w:rFonts w:ascii="Arial" w:hAnsi="Arial" w:cs="Arial"/>
          <w:color w:val="0000FF"/>
        </w:rPr>
      </w:pPr>
      <w:r>
        <w:rPr>
          <w:rFonts w:ascii="Arial" w:hAnsi="Arial" w:cs="Arial"/>
          <w:color w:val="0000FF"/>
        </w:rPr>
        <w:t>Rs9465871 had the most significant individual affect on risk</w:t>
      </w:r>
      <w:r w:rsidR="00B614AD">
        <w:rPr>
          <w:rFonts w:ascii="Arial" w:hAnsi="Arial" w:cs="Arial"/>
          <w:color w:val="0000FF"/>
        </w:rPr>
        <w:t xml:space="preserve"> with a likelihood ratio of 1.5.</w:t>
      </w:r>
    </w:p>
    <w:p w14:paraId="2B2C3F63" w14:textId="77777777" w:rsidR="00D35FCE" w:rsidRDefault="00D35FCE" w:rsidP="00D35FCE">
      <w:pPr>
        <w:pStyle w:val="Bibliography"/>
        <w:tabs>
          <w:tab w:val="clear" w:pos="260"/>
          <w:tab w:val="left" w:pos="360"/>
        </w:tabs>
        <w:ind w:left="360" w:firstLine="0"/>
        <w:rPr>
          <w:rFonts w:ascii="Arial" w:hAnsi="Arial" w:cs="Arial"/>
          <w:color w:val="0000FF"/>
        </w:rPr>
      </w:pPr>
    </w:p>
    <w:p w14:paraId="4837E96A" w14:textId="77777777" w:rsidR="00486F40" w:rsidRPr="00070277" w:rsidRDefault="00486F40" w:rsidP="00D35FCE">
      <w:pPr>
        <w:pStyle w:val="Bibliography"/>
        <w:tabs>
          <w:tab w:val="clear" w:pos="260"/>
          <w:tab w:val="left" w:pos="360"/>
        </w:tabs>
        <w:ind w:left="360" w:firstLine="0"/>
        <w:rPr>
          <w:rFonts w:ascii="Arial" w:hAnsi="Arial" w:cs="Arial"/>
          <w:color w:val="0000FF"/>
        </w:rPr>
      </w:pPr>
      <w:r w:rsidRPr="00070277">
        <w:rPr>
          <w:rFonts w:ascii="Arial" w:hAnsi="Arial" w:cs="Arial"/>
          <w:color w:val="0000FF"/>
        </w:rPr>
        <w:t>10.</w:t>
      </w:r>
      <w:r w:rsidRPr="00070277">
        <w:rPr>
          <w:rFonts w:ascii="Arial" w:hAnsi="Arial" w:cs="Arial"/>
          <w:color w:val="0000FF"/>
        </w:rPr>
        <w:tab/>
        <w:t xml:space="preserve">Ashley, E. A. </w:t>
      </w:r>
      <w:r w:rsidRPr="00070277">
        <w:rPr>
          <w:rFonts w:ascii="Arial" w:hAnsi="Arial" w:cs="Arial"/>
          <w:i/>
          <w:iCs/>
          <w:color w:val="0000FF"/>
        </w:rPr>
        <w:t>et al.</w:t>
      </w:r>
      <w:r w:rsidRPr="00070277">
        <w:rPr>
          <w:rFonts w:ascii="Arial" w:hAnsi="Arial" w:cs="Arial"/>
          <w:color w:val="0000FF"/>
        </w:rPr>
        <w:t xml:space="preserve"> Clinical assessment incorporating a personal genome. </w:t>
      </w:r>
      <w:r w:rsidRPr="00070277">
        <w:rPr>
          <w:rFonts w:ascii="Arial" w:hAnsi="Arial" w:cs="Arial"/>
          <w:i/>
          <w:iCs/>
          <w:color w:val="0000FF"/>
        </w:rPr>
        <w:t>Lancet</w:t>
      </w:r>
      <w:r w:rsidRPr="00070277">
        <w:rPr>
          <w:rFonts w:ascii="Arial" w:hAnsi="Arial" w:cs="Arial"/>
          <w:color w:val="0000FF"/>
        </w:rPr>
        <w:t xml:space="preserve"> </w:t>
      </w:r>
      <w:r w:rsidRPr="00070277">
        <w:rPr>
          <w:rFonts w:ascii="Arial" w:hAnsi="Arial" w:cs="Arial"/>
          <w:b/>
          <w:bCs/>
          <w:color w:val="0000FF"/>
        </w:rPr>
        <w:t>375,</w:t>
      </w:r>
      <w:r w:rsidRPr="00070277">
        <w:rPr>
          <w:rFonts w:ascii="Arial" w:hAnsi="Arial" w:cs="Arial"/>
          <w:color w:val="0000FF"/>
        </w:rPr>
        <w:t xml:space="preserve"> 1525–1535 (2010).</w:t>
      </w:r>
    </w:p>
    <w:p w14:paraId="484D1B2D" w14:textId="77777777" w:rsidR="002712BE" w:rsidRPr="002712BE" w:rsidRDefault="002712BE" w:rsidP="002712BE">
      <w:pPr>
        <w:rPr>
          <w:rFonts w:ascii="Arial" w:hAnsi="Arial" w:cs="Arial"/>
          <w:i/>
          <w:color w:val="000000"/>
        </w:rPr>
      </w:pPr>
    </w:p>
    <w:p w14:paraId="51187A5E" w14:textId="77777777" w:rsidR="006E10B2"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r w:rsidR="007D41B2" w:rsidRPr="002712BE">
        <w:rPr>
          <w:rFonts w:ascii="Arial" w:hAnsi="Arial" w:cs="Arial"/>
          <w:color w:val="000000"/>
        </w:rPr>
        <w:br/>
      </w:r>
    </w:p>
    <w:p w14:paraId="62475EEB" w14:textId="6EB68FBB" w:rsidR="001F7373" w:rsidRDefault="00A25606" w:rsidP="00023B29">
      <w:pPr>
        <w:ind w:left="360"/>
        <w:rPr>
          <w:rFonts w:ascii="Arial" w:hAnsi="Arial"/>
          <w:color w:val="0000FF"/>
        </w:rPr>
      </w:pPr>
      <w:r>
        <w:rPr>
          <w:rFonts w:ascii="Arial" w:hAnsi="Arial"/>
          <w:color w:val="0000FF"/>
        </w:rPr>
        <w:t xml:space="preserve">A key recommendation I would offer the family is to help their daughter maintain a healthy weight. Diabetes is associated with increased body weight and with abdominal/visceral fat. </w:t>
      </w:r>
      <w:r w:rsidR="00BF6198">
        <w:rPr>
          <w:rFonts w:ascii="Arial" w:hAnsi="Arial"/>
          <w:color w:val="0000FF"/>
        </w:rPr>
        <w:t>Though the genetic risk is out of their hands, they can readily try to eat</w:t>
      </w:r>
      <w:r w:rsidR="003A5FDD">
        <w:rPr>
          <w:rFonts w:ascii="Arial" w:hAnsi="Arial"/>
          <w:color w:val="0000FF"/>
        </w:rPr>
        <w:t xml:space="preserve"> a healthy diet. </w:t>
      </w:r>
      <w:r w:rsidR="001F7373">
        <w:rPr>
          <w:rFonts w:ascii="Arial" w:hAnsi="Arial"/>
          <w:color w:val="0000FF"/>
        </w:rPr>
        <w:t xml:space="preserve">This diet would be high in fruits, vegetables, fish, poultry, and whole grains and limit sweetened beverages. </w:t>
      </w:r>
    </w:p>
    <w:p w14:paraId="1FEF25B3" w14:textId="77777777" w:rsidR="001F7373" w:rsidRDefault="001F7373" w:rsidP="00023B29">
      <w:pPr>
        <w:ind w:left="360"/>
        <w:rPr>
          <w:rFonts w:ascii="Arial" w:hAnsi="Arial"/>
          <w:color w:val="0000FF"/>
        </w:rPr>
      </w:pPr>
    </w:p>
    <w:p w14:paraId="65CDE820" w14:textId="15AF7067" w:rsidR="003A5FDD" w:rsidRDefault="003A5FDD" w:rsidP="00023B29">
      <w:pPr>
        <w:ind w:left="360"/>
        <w:rPr>
          <w:rFonts w:ascii="Arial" w:hAnsi="Arial"/>
          <w:color w:val="0000FF"/>
        </w:rPr>
      </w:pPr>
      <w:r>
        <w:rPr>
          <w:rFonts w:ascii="Arial" w:hAnsi="Arial"/>
          <w:color w:val="0000FF"/>
        </w:rPr>
        <w:t xml:space="preserve">Similarly, exercise is associated with decreasing the risk for type 2 diabetes and so I would recommend that the parents make sure that their daughter is </w:t>
      </w:r>
      <w:r>
        <w:rPr>
          <w:rFonts w:ascii="Arial" w:hAnsi="Arial"/>
          <w:color w:val="0000FF"/>
        </w:rPr>
        <w:lastRenderedPageBreak/>
        <w:t xml:space="preserve">active as a child and is educated on the importance of </w:t>
      </w:r>
      <w:r w:rsidR="00EC729A">
        <w:rPr>
          <w:rFonts w:ascii="Arial" w:hAnsi="Arial"/>
          <w:color w:val="0000FF"/>
        </w:rPr>
        <w:t>exercise</w:t>
      </w:r>
      <w:r>
        <w:rPr>
          <w:rFonts w:ascii="Arial" w:hAnsi="Arial"/>
          <w:color w:val="0000FF"/>
        </w:rPr>
        <w:t xml:space="preserve"> as she gets older.</w:t>
      </w:r>
    </w:p>
    <w:p w14:paraId="1C85428C" w14:textId="77777777" w:rsidR="003A5FDD" w:rsidRDefault="003A5FDD" w:rsidP="00023B29">
      <w:pPr>
        <w:ind w:left="360"/>
        <w:rPr>
          <w:rFonts w:ascii="Arial" w:hAnsi="Arial"/>
          <w:color w:val="0000FF"/>
        </w:rPr>
      </w:pPr>
    </w:p>
    <w:p w14:paraId="289C79DA" w14:textId="77777777" w:rsidR="003A5FDD" w:rsidRDefault="003A5FDD" w:rsidP="00023B29">
      <w:pPr>
        <w:ind w:left="360"/>
        <w:rPr>
          <w:rFonts w:ascii="Arial" w:hAnsi="Arial"/>
          <w:color w:val="0000FF"/>
        </w:rPr>
      </w:pPr>
      <w:r>
        <w:rPr>
          <w:rFonts w:ascii="Arial" w:hAnsi="Arial"/>
          <w:color w:val="0000FF"/>
        </w:rPr>
        <w:t>Hopefully, the daughter doesn’t smoke, but as she gets older, it will be important to ensure that she doesn’t pick up smoking as smoking is associated with an increased risk of diabetes.</w:t>
      </w:r>
    </w:p>
    <w:p w14:paraId="66B4546C" w14:textId="77777777" w:rsidR="003A5FDD" w:rsidRDefault="003A5FDD" w:rsidP="00023B29">
      <w:pPr>
        <w:ind w:left="360"/>
        <w:rPr>
          <w:rFonts w:ascii="Arial" w:hAnsi="Arial"/>
          <w:color w:val="0000FF"/>
        </w:rPr>
      </w:pPr>
    </w:p>
    <w:p w14:paraId="47C74328" w14:textId="692E7B10" w:rsidR="00023B29" w:rsidRPr="00A25606" w:rsidRDefault="003A5FDD" w:rsidP="00023B29">
      <w:pPr>
        <w:ind w:left="360"/>
        <w:rPr>
          <w:rFonts w:ascii="Arial" w:hAnsi="Arial"/>
          <w:color w:val="0000FF"/>
        </w:rPr>
      </w:pPr>
      <w:r>
        <w:rPr>
          <w:rFonts w:ascii="Arial" w:hAnsi="Arial"/>
          <w:color w:val="0000FF"/>
        </w:rPr>
        <w:t xml:space="preserve">In some studies, sleep patterns have been associated type 2 diabetes (specifically short or long sleep duration). It is unclear whether or not the the association is causal but since getting a healthy (~8 hrs/day) of sleep is beneficial for many reasons, it may be useful to start the daughter on a health sleep cycle now.    </w:t>
      </w:r>
    </w:p>
    <w:p w14:paraId="331B4D01" w14:textId="77777777" w:rsidR="002712BE" w:rsidRPr="002712BE" w:rsidRDefault="002712BE" w:rsidP="002712BE">
      <w:pPr>
        <w:pStyle w:val="ListParagraph"/>
        <w:rPr>
          <w:rFonts w:ascii="Arial" w:hAnsi="Arial"/>
        </w:rPr>
      </w:pPr>
    </w:p>
    <w:p w14:paraId="3965E592"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(15 points total)</w:t>
      </w:r>
    </w:p>
    <w:p w14:paraId="1524F373"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2329B0D2" w14:textId="77777777" w:rsidTr="002712BE">
        <w:tc>
          <w:tcPr>
            <w:tcW w:w="1458" w:type="dxa"/>
          </w:tcPr>
          <w:p w14:paraId="459C3B59" w14:textId="77777777" w:rsidR="002712BE" w:rsidRPr="002712BE" w:rsidRDefault="002712BE" w:rsidP="00C455D6">
            <w:pPr>
              <w:rPr>
                <w:rFonts w:ascii="Arial" w:hAnsi="Arial"/>
                <w:b/>
              </w:rPr>
            </w:pPr>
            <w:r>
              <w:rPr>
                <w:rFonts w:ascii="Arial" w:hAnsi="Arial"/>
                <w:b/>
              </w:rPr>
              <w:t>snp</w:t>
            </w:r>
          </w:p>
        </w:tc>
        <w:tc>
          <w:tcPr>
            <w:tcW w:w="1440" w:type="dxa"/>
          </w:tcPr>
          <w:p w14:paraId="159DA47E" w14:textId="77777777" w:rsidR="002712BE" w:rsidRPr="002712BE" w:rsidRDefault="002712BE" w:rsidP="00C455D6">
            <w:pPr>
              <w:rPr>
                <w:rFonts w:ascii="Arial" w:hAnsi="Arial"/>
                <w:b/>
              </w:rPr>
            </w:pPr>
            <w:r>
              <w:rPr>
                <w:rFonts w:ascii="Arial" w:hAnsi="Arial"/>
                <w:b/>
              </w:rPr>
              <w:t>odds ratio</w:t>
            </w:r>
          </w:p>
        </w:tc>
        <w:tc>
          <w:tcPr>
            <w:tcW w:w="1620" w:type="dxa"/>
          </w:tcPr>
          <w:p w14:paraId="5BBC4379" w14:textId="77777777" w:rsidR="002712BE" w:rsidRPr="002712BE" w:rsidRDefault="002712BE" w:rsidP="00C455D6">
            <w:pPr>
              <w:rPr>
                <w:rFonts w:ascii="Arial" w:hAnsi="Arial"/>
                <w:b/>
              </w:rPr>
            </w:pPr>
            <w:r>
              <w:rPr>
                <w:rFonts w:ascii="Arial" w:hAnsi="Arial"/>
                <w:b/>
              </w:rPr>
              <w:t>p-value</w:t>
            </w:r>
          </w:p>
        </w:tc>
        <w:tc>
          <w:tcPr>
            <w:tcW w:w="1260" w:type="dxa"/>
          </w:tcPr>
          <w:p w14:paraId="607560A8" w14:textId="77777777" w:rsidR="002712BE" w:rsidRPr="002712BE" w:rsidRDefault="002712BE" w:rsidP="00C455D6">
            <w:pPr>
              <w:rPr>
                <w:rFonts w:ascii="Arial" w:hAnsi="Arial"/>
                <w:b/>
              </w:rPr>
            </w:pPr>
            <w:r>
              <w:rPr>
                <w:rFonts w:ascii="Arial" w:hAnsi="Arial"/>
                <w:b/>
              </w:rPr>
              <w:t>cases</w:t>
            </w:r>
          </w:p>
        </w:tc>
        <w:tc>
          <w:tcPr>
            <w:tcW w:w="1350" w:type="dxa"/>
          </w:tcPr>
          <w:p w14:paraId="1209F5DC"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2DBE0765" w14:textId="77777777" w:rsidTr="002712BE">
        <w:tc>
          <w:tcPr>
            <w:tcW w:w="1458" w:type="dxa"/>
          </w:tcPr>
          <w:p w14:paraId="11712F19" w14:textId="77777777" w:rsidR="002712BE" w:rsidRPr="002712BE" w:rsidRDefault="002712BE" w:rsidP="00C455D6">
            <w:pPr>
              <w:rPr>
                <w:rFonts w:ascii="Arial" w:hAnsi="Arial"/>
              </w:rPr>
            </w:pPr>
            <w:r w:rsidRPr="002712BE">
              <w:rPr>
                <w:rFonts w:ascii="Arial" w:hAnsi="Arial"/>
              </w:rPr>
              <w:t>rs4402960</w:t>
            </w:r>
          </w:p>
        </w:tc>
        <w:tc>
          <w:tcPr>
            <w:tcW w:w="1440" w:type="dxa"/>
          </w:tcPr>
          <w:p w14:paraId="3E289E82" w14:textId="77777777" w:rsidR="002712BE" w:rsidRPr="002712BE" w:rsidRDefault="002712BE" w:rsidP="00C455D6">
            <w:pPr>
              <w:rPr>
                <w:rFonts w:ascii="Arial" w:hAnsi="Arial"/>
              </w:rPr>
            </w:pPr>
            <w:r>
              <w:rPr>
                <w:rFonts w:ascii="Arial" w:hAnsi="Arial"/>
              </w:rPr>
              <w:t>1.14</w:t>
            </w:r>
          </w:p>
        </w:tc>
        <w:tc>
          <w:tcPr>
            <w:tcW w:w="1620" w:type="dxa"/>
          </w:tcPr>
          <w:p w14:paraId="3755C58E"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7088BABD" w14:textId="77777777" w:rsidR="002712BE" w:rsidRPr="002712BE" w:rsidRDefault="002712BE" w:rsidP="00C455D6">
            <w:pPr>
              <w:rPr>
                <w:rFonts w:ascii="Arial" w:hAnsi="Arial"/>
              </w:rPr>
            </w:pPr>
            <w:r>
              <w:rPr>
                <w:rFonts w:ascii="Arial" w:hAnsi="Arial"/>
              </w:rPr>
              <w:t>14586</w:t>
            </w:r>
          </w:p>
        </w:tc>
        <w:tc>
          <w:tcPr>
            <w:tcW w:w="1350" w:type="dxa"/>
          </w:tcPr>
          <w:p w14:paraId="4870E2EA" w14:textId="77777777" w:rsidR="002712BE" w:rsidRPr="002712BE" w:rsidRDefault="002712BE" w:rsidP="00C455D6">
            <w:pPr>
              <w:rPr>
                <w:rFonts w:ascii="Arial" w:hAnsi="Arial"/>
              </w:rPr>
            </w:pPr>
            <w:r>
              <w:rPr>
                <w:rFonts w:ascii="Arial" w:hAnsi="Arial"/>
              </w:rPr>
              <w:t>17968</w:t>
            </w:r>
          </w:p>
        </w:tc>
      </w:tr>
      <w:tr w:rsidR="002712BE" w:rsidRPr="002712BE" w14:paraId="541CA6E4" w14:textId="77777777" w:rsidTr="002712BE">
        <w:tc>
          <w:tcPr>
            <w:tcW w:w="1458" w:type="dxa"/>
          </w:tcPr>
          <w:p w14:paraId="6E2E861B" w14:textId="77777777" w:rsidR="002712BE" w:rsidRPr="002712BE" w:rsidRDefault="002712BE" w:rsidP="00C455D6">
            <w:pPr>
              <w:rPr>
                <w:rFonts w:ascii="Arial" w:hAnsi="Arial"/>
              </w:rPr>
            </w:pPr>
            <w:r w:rsidRPr="002712BE">
              <w:rPr>
                <w:rFonts w:ascii="Arial" w:hAnsi="Arial"/>
              </w:rPr>
              <w:t>rs7754840</w:t>
            </w:r>
          </w:p>
        </w:tc>
        <w:tc>
          <w:tcPr>
            <w:tcW w:w="1440" w:type="dxa"/>
          </w:tcPr>
          <w:p w14:paraId="09DBA08A" w14:textId="77777777" w:rsidR="002712BE" w:rsidRPr="002712BE" w:rsidRDefault="002712BE" w:rsidP="00C455D6">
            <w:pPr>
              <w:rPr>
                <w:rFonts w:ascii="Arial" w:hAnsi="Arial"/>
              </w:rPr>
            </w:pPr>
            <w:r>
              <w:rPr>
                <w:rFonts w:ascii="Arial" w:hAnsi="Arial"/>
              </w:rPr>
              <w:t>1.28</w:t>
            </w:r>
          </w:p>
        </w:tc>
        <w:tc>
          <w:tcPr>
            <w:tcW w:w="1620" w:type="dxa"/>
          </w:tcPr>
          <w:p w14:paraId="49AA82CF"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2D690D47" w14:textId="77777777" w:rsidR="002712BE" w:rsidRPr="002712BE" w:rsidRDefault="002712BE" w:rsidP="00C455D6">
            <w:pPr>
              <w:rPr>
                <w:rFonts w:ascii="Arial" w:hAnsi="Arial"/>
              </w:rPr>
            </w:pPr>
            <w:r>
              <w:rPr>
                <w:rFonts w:ascii="Arial" w:hAnsi="Arial"/>
              </w:rPr>
              <w:t>1921</w:t>
            </w:r>
          </w:p>
        </w:tc>
        <w:tc>
          <w:tcPr>
            <w:tcW w:w="1350" w:type="dxa"/>
          </w:tcPr>
          <w:p w14:paraId="322F1A9C" w14:textId="77777777" w:rsidR="002712BE" w:rsidRPr="002712BE" w:rsidRDefault="002712BE" w:rsidP="00C455D6">
            <w:pPr>
              <w:rPr>
                <w:rFonts w:ascii="Arial" w:hAnsi="Arial"/>
              </w:rPr>
            </w:pPr>
            <w:r>
              <w:rPr>
                <w:rFonts w:ascii="Arial" w:hAnsi="Arial"/>
              </w:rPr>
              <w:t>1622</w:t>
            </w:r>
          </w:p>
        </w:tc>
      </w:tr>
    </w:tbl>
    <w:p w14:paraId="6A3B58F5" w14:textId="77777777" w:rsidR="006E10B2" w:rsidRPr="00A8454B" w:rsidRDefault="006E10B2" w:rsidP="002712BE">
      <w:pPr>
        <w:rPr>
          <w:rFonts w:ascii="Arial" w:hAnsi="Arial"/>
        </w:rPr>
      </w:pPr>
    </w:p>
    <w:p w14:paraId="01D0B0EF"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3E2072F4" w14:textId="77777777" w:rsidR="002712BE" w:rsidRDefault="002712BE" w:rsidP="002712BE">
      <w:pPr>
        <w:pStyle w:val="ListParagraph"/>
        <w:rPr>
          <w:rFonts w:ascii="Arial" w:hAnsi="Arial"/>
        </w:rPr>
      </w:pPr>
    </w:p>
    <w:p w14:paraId="678B95AA" w14:textId="28B16A34" w:rsidR="000278B4" w:rsidRPr="000278B4" w:rsidRDefault="000278B4" w:rsidP="000278B4">
      <w:pPr>
        <w:ind w:left="720"/>
        <w:rPr>
          <w:rFonts w:ascii="Arial" w:hAnsi="Arial"/>
          <w:color w:val="0000FF"/>
        </w:rPr>
      </w:pPr>
      <w:r>
        <w:rPr>
          <w:rFonts w:ascii="Arial" w:hAnsi="Arial"/>
          <w:color w:val="0000FF"/>
        </w:rPr>
        <w:t xml:space="preserve">Based on the odds ratios, it appears that rs7754840 has a larger effect size than the other snp. </w:t>
      </w:r>
      <w:r w:rsidR="00A771BB">
        <w:rPr>
          <w:rFonts w:ascii="Arial" w:hAnsi="Arial"/>
          <w:color w:val="0000FF"/>
        </w:rPr>
        <w:t>The odds ratio is a ratio of the odds of having the risk allele in cases compared on c</w:t>
      </w:r>
      <w:r w:rsidR="002A64E8">
        <w:rPr>
          <w:rFonts w:ascii="Arial" w:hAnsi="Arial"/>
          <w:color w:val="0000FF"/>
        </w:rPr>
        <w:t xml:space="preserve">ontrols. </w:t>
      </w:r>
      <w:r w:rsidR="006836BD">
        <w:rPr>
          <w:rFonts w:ascii="Arial" w:hAnsi="Arial"/>
          <w:color w:val="0000FF"/>
        </w:rPr>
        <w:t xml:space="preserve">A higher odds ratio suggests that the risk allele has a more significant association with cases. </w:t>
      </w:r>
    </w:p>
    <w:p w14:paraId="7DE6C1F9" w14:textId="77777777" w:rsidR="002712BE" w:rsidRPr="002712BE" w:rsidRDefault="002712BE" w:rsidP="002712BE">
      <w:pPr>
        <w:rPr>
          <w:rFonts w:ascii="Arial" w:hAnsi="Arial"/>
        </w:rPr>
      </w:pPr>
    </w:p>
    <w:p w14:paraId="18AC5B4E"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27377DE7" w14:textId="77777777" w:rsidR="002712BE" w:rsidRDefault="002712BE" w:rsidP="006836BD">
      <w:pPr>
        <w:ind w:left="720"/>
        <w:rPr>
          <w:rFonts w:ascii="Arial" w:hAnsi="Arial"/>
        </w:rPr>
      </w:pPr>
    </w:p>
    <w:p w14:paraId="394427DB" w14:textId="2E51BFC0" w:rsidR="006836BD" w:rsidRPr="006836BD" w:rsidRDefault="006836BD" w:rsidP="006836BD">
      <w:pPr>
        <w:ind w:left="720"/>
        <w:rPr>
          <w:rFonts w:ascii="Arial" w:hAnsi="Arial"/>
          <w:color w:val="0000FF"/>
        </w:rPr>
      </w:pPr>
      <w:r>
        <w:rPr>
          <w:rFonts w:ascii="Arial" w:hAnsi="Arial"/>
          <w:color w:val="0000FF"/>
        </w:rPr>
        <w:t>RS4402960 is has the most statistically significant risk for type 2 diabetes with a p=8.9 x 10</w:t>
      </w:r>
      <w:r w:rsidRPr="006836BD">
        <w:rPr>
          <w:rFonts w:ascii="Arial" w:hAnsi="Arial"/>
          <w:color w:val="0000FF"/>
          <w:vertAlign w:val="superscript"/>
        </w:rPr>
        <w:t>-16</w:t>
      </w:r>
      <w:r>
        <w:rPr>
          <w:rFonts w:ascii="Arial" w:hAnsi="Arial"/>
          <w:color w:val="0000FF"/>
        </w:rPr>
        <w:t xml:space="preserve">. In fact, assuming that this GWA study tested the standard ~500,000 SNPs, the rs7754840 association falls </w:t>
      </w:r>
      <w:r w:rsidR="00817483">
        <w:rPr>
          <w:rFonts w:ascii="Arial" w:hAnsi="Arial"/>
          <w:color w:val="0000FF"/>
        </w:rPr>
        <w:t>does not meet</w:t>
      </w:r>
      <w:r>
        <w:rPr>
          <w:rFonts w:ascii="Arial" w:hAnsi="Arial"/>
          <w:color w:val="0000FF"/>
        </w:rPr>
        <w:t xml:space="preserve"> the cutoff for significan</w:t>
      </w:r>
      <w:r w:rsidR="00417F5E">
        <w:rPr>
          <w:rFonts w:ascii="Arial" w:hAnsi="Arial"/>
          <w:color w:val="0000FF"/>
        </w:rPr>
        <w:t>ce</w:t>
      </w:r>
      <w:r>
        <w:rPr>
          <w:rFonts w:ascii="Arial" w:hAnsi="Arial"/>
          <w:color w:val="0000FF"/>
        </w:rPr>
        <w:t>.</w:t>
      </w:r>
    </w:p>
    <w:p w14:paraId="16E5D419" w14:textId="77777777" w:rsidR="002712BE" w:rsidRPr="002712BE" w:rsidRDefault="002712BE" w:rsidP="002712BE">
      <w:pPr>
        <w:rPr>
          <w:rFonts w:ascii="Arial" w:hAnsi="Arial"/>
        </w:rPr>
      </w:pPr>
    </w:p>
    <w:p w14:paraId="0A067A02"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2 diabetes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358357AC" w14:textId="77777777" w:rsidR="002712BE" w:rsidRDefault="002712BE" w:rsidP="002712BE">
      <w:pPr>
        <w:pStyle w:val="ListParagraph"/>
        <w:rPr>
          <w:rFonts w:ascii="Arial" w:hAnsi="Arial"/>
        </w:rPr>
      </w:pPr>
    </w:p>
    <w:p w14:paraId="1135F375" w14:textId="48A4AC93" w:rsidR="00417F5E" w:rsidRPr="00417F5E" w:rsidRDefault="00880EB6" w:rsidP="002712BE">
      <w:pPr>
        <w:pStyle w:val="ListParagraph"/>
        <w:rPr>
          <w:rFonts w:ascii="Arial" w:hAnsi="Arial"/>
          <w:color w:val="0000FF"/>
        </w:rPr>
      </w:pPr>
      <w:r>
        <w:rPr>
          <w:rFonts w:ascii="Arial" w:hAnsi="Arial"/>
          <w:color w:val="0000FF"/>
        </w:rPr>
        <w:t xml:space="preserve">No—effect size and significance are somewhat independent entities. While it may be easier to achieve significance with huge effect sizes sometimes, the n is critical to the p-value. Consider for example a SNP where the effect size was &gt;&gt;&gt;1 but where the n=1 as compared to a SNP where OR=1.1 with an n=100,000. Even though the effect size is clearly much larger in the first case, it will likely no be significant because the </w:t>
      </w:r>
      <w:r>
        <w:rPr>
          <w:rFonts w:ascii="Arial" w:hAnsi="Arial"/>
          <w:color w:val="0000FF"/>
        </w:rPr>
        <w:lastRenderedPageBreak/>
        <w:t>study population is to small. On the other hand, even a very small effect size can be significant if the n is sufficiently large.</w:t>
      </w:r>
    </w:p>
    <w:p w14:paraId="0AC73D20" w14:textId="77777777" w:rsidR="002712BE" w:rsidRPr="002712BE" w:rsidRDefault="002712BE" w:rsidP="002712BE">
      <w:pPr>
        <w:rPr>
          <w:rFonts w:ascii="Arial" w:hAnsi="Arial"/>
        </w:rPr>
      </w:pPr>
    </w:p>
    <w:p w14:paraId="1880ADB9" w14:textId="77777777" w:rsidR="00692B36" w:rsidRDefault="00AD14CB" w:rsidP="002712BE">
      <w:pPr>
        <w:pStyle w:val="ListParagraph"/>
        <w:numPr>
          <w:ilvl w:val="0"/>
          <w:numId w:val="9"/>
        </w:numPr>
        <w:rPr>
          <w:rFonts w:ascii="Arial" w:hAnsi="Arial"/>
        </w:rPr>
      </w:pPr>
      <w:r w:rsidRPr="002712BE">
        <w:rPr>
          <w:rFonts w:ascii="Arial" w:hAnsi="Arial"/>
        </w:rPr>
        <w:t>rs7754840 is a SNP that lies within the CDKAL1 gene.  This SNP was identified because it was contained on the Illumina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14:paraId="6B17241A" w14:textId="77777777" w:rsidR="00D36C8B" w:rsidRDefault="00961030" w:rsidP="00320786">
      <w:pPr>
        <w:pStyle w:val="ListParagraph"/>
        <w:rPr>
          <w:rFonts w:ascii="Arial" w:hAnsi="Arial"/>
          <w:color w:val="0000FF"/>
        </w:rPr>
      </w:pPr>
      <w:r>
        <w:rPr>
          <w:rFonts w:ascii="Arial" w:hAnsi="Arial"/>
          <w:color w:val="0000FF"/>
        </w:rPr>
        <w:t>Just because the rs7754840 SNP is associated with type 2 diabetes in a GWA study, does not necessarily indicate that it is in anyway causal. The SNPs are simply tags for haplotype blocks. While the SNP may end up being the causal mutation, it may also simply be a proxy for something mutation/indel nearby which is the causal variant.</w:t>
      </w:r>
    </w:p>
    <w:p w14:paraId="7928A57F" w14:textId="77777777" w:rsidR="00D36C8B" w:rsidRDefault="00D36C8B" w:rsidP="00320786">
      <w:pPr>
        <w:pStyle w:val="ListParagraph"/>
        <w:rPr>
          <w:rFonts w:ascii="Arial" w:hAnsi="Arial"/>
          <w:color w:val="0000FF"/>
        </w:rPr>
      </w:pPr>
    </w:p>
    <w:p w14:paraId="5B204F80" w14:textId="70544CF8" w:rsidR="00320786" w:rsidRDefault="00D36C8B" w:rsidP="00320786">
      <w:pPr>
        <w:pStyle w:val="ListParagraph"/>
        <w:rPr>
          <w:rFonts w:ascii="Arial" w:hAnsi="Arial"/>
          <w:color w:val="0000FF"/>
        </w:rPr>
      </w:pPr>
      <w:r>
        <w:rPr>
          <w:rFonts w:ascii="Arial" w:hAnsi="Arial"/>
          <w:color w:val="0000FF"/>
        </w:rPr>
        <w:t>rs7754840</w:t>
      </w:r>
      <w:r w:rsidR="00961030">
        <w:rPr>
          <w:rFonts w:ascii="Arial" w:hAnsi="Arial"/>
          <w:color w:val="0000FF"/>
        </w:rPr>
        <w:t xml:space="preserve"> is located </w:t>
      </w:r>
      <w:r>
        <w:rPr>
          <w:rFonts w:ascii="Arial" w:hAnsi="Arial"/>
          <w:color w:val="0000FF"/>
        </w:rPr>
        <w:t xml:space="preserve">in </w:t>
      </w:r>
      <w:r w:rsidR="00961030">
        <w:rPr>
          <w:rFonts w:ascii="Arial" w:hAnsi="Arial"/>
          <w:color w:val="0000FF"/>
        </w:rPr>
        <w:t>intron</w:t>
      </w:r>
      <w:r w:rsidR="00C537DF">
        <w:rPr>
          <w:rFonts w:ascii="Arial" w:hAnsi="Arial"/>
          <w:color w:val="0000FF"/>
        </w:rPr>
        <w:t xml:space="preserve"> 5</w:t>
      </w:r>
      <w:r w:rsidR="00961030">
        <w:rPr>
          <w:rFonts w:ascii="Arial" w:hAnsi="Arial"/>
          <w:color w:val="0000FF"/>
        </w:rPr>
        <w:t xml:space="preserve"> </w:t>
      </w:r>
      <w:r>
        <w:rPr>
          <w:rFonts w:ascii="Arial" w:hAnsi="Arial"/>
          <w:color w:val="0000FF"/>
        </w:rPr>
        <w:t>of</w:t>
      </w:r>
      <w:r w:rsidR="00961030">
        <w:rPr>
          <w:rFonts w:ascii="Arial" w:hAnsi="Arial"/>
          <w:color w:val="0000FF"/>
        </w:rPr>
        <w:t xml:space="preserve"> the CDKAL1 gene.</w:t>
      </w:r>
      <w:r w:rsidR="00DB7D78">
        <w:rPr>
          <w:rFonts w:ascii="Arial" w:hAnsi="Arial"/>
          <w:color w:val="0000FF"/>
        </w:rPr>
        <w:t xml:space="preserve"> </w:t>
      </w:r>
      <w:r w:rsidR="00556750">
        <w:rPr>
          <w:rFonts w:ascii="Arial" w:hAnsi="Arial"/>
          <w:color w:val="0000FF"/>
        </w:rPr>
        <w:t>To date, it has not been shown to be the causal mutation. CDKAL1 does appear to be associated with beta-cell insulin production such that over</w:t>
      </w:r>
      <w:r w:rsidR="007F382C">
        <w:rPr>
          <w:rFonts w:ascii="Arial" w:hAnsi="Arial"/>
          <w:color w:val="0000FF"/>
        </w:rPr>
        <w:t>-</w:t>
      </w:r>
      <w:r w:rsidR="00556750">
        <w:rPr>
          <w:rFonts w:ascii="Arial" w:hAnsi="Arial"/>
          <w:color w:val="0000FF"/>
        </w:rPr>
        <w:t>activity of CDKAL1 is associated with a reduction i</w:t>
      </w:r>
      <w:r w:rsidR="007F382C">
        <w:rPr>
          <w:rFonts w:ascii="Arial" w:hAnsi="Arial"/>
          <w:color w:val="0000FF"/>
        </w:rPr>
        <w:t>n insulin secretion at high glucose conditions. However, no evidence indicates that the rs7754840[C] SNP has any direct effect on the activity of CDKAL1.</w:t>
      </w:r>
      <w:r w:rsidR="00070277">
        <w:rPr>
          <w:rFonts w:ascii="Arial" w:hAnsi="Arial"/>
          <w:color w:val="0000FF"/>
        </w:rPr>
        <w:fldChar w:fldCharType="begin"/>
      </w:r>
      <w:r w:rsidR="00070277">
        <w:rPr>
          <w:rFonts w:ascii="Arial" w:hAnsi="Arial"/>
          <w:color w:val="0000FF"/>
        </w:rPr>
        <w:instrText xml:space="preserve"> ADDIN ZOTERO_ITEM CSL_CITATION {"citationID":"174tp2phdd","properties":{"formattedCitation":"{\\rtf \\super 11\\nosupersub{}}","plainCitation":"11"},"citationItems":[{"id":225,"uris":["http://zotero.org/users/1833444/items/D2Z8C2CB"],"uri":["http://zotero.org/users/1833444/items/D2Z8C2CB"],"itemData":{"id":225,"type":"article-journal","title":"The carriage of risk variants of CDKAL1 impairs beta-cell function in both diabetic and non-diabetic patients and reduces response to non-sulfonylurea and sulfonylurea agonists of the pancreatic KATP channel","container-title":"Acta Diabetologica","page":"227-235","volume":"48","issue":"3","source":"link.springer.com","abstract":"On chromosome 6q22.3, a cluster of single-nucleotide polymorphisms located in intron 5 of the cyclin-dependent kinase 5 (CDK5) regulatory subunit-associated protein 1-like 1 (CDKAL1) gene were shown to confer susceptibility to type 2 diabetes in multiple ethnic groups. The diabetogenic role of CDKAL1 variants is suggested to consist in lower insulin secretion probably due to the insufficient inhibition of the CDK5 activity. In this study, we assessed the association of several SNPs of CDKAL1 with T2D in 772 Russian affected patients and 773 normoglycemic controls using a Taqman-based allelic discrimination assay. We showed association of the minor allele C of rs10946398 (Odds Ratio (OR) = 1.21, 95% CI = 1.04–1.4, P = 0.016), allele C of rs7754840 (OR = 1.18, 95% CI = 1.01–1.37, P = 0.038), and allele G of rs7756992 (OR = 1.21, 95% CI = 1.04–1.42, P = 0.017) with higher diabetes risk thereby replicating the predisposing role of CDKAL1 in etiology of T2D. These alleles contribute to three haplotypes (CCA, CGG, and CCG) related to higher diabetes risk (OR = 1.48, 2.12, and 1.95). Combinations of these haplotypes between each other form the group of high-risk haplogenotypes whose carriers had decreased HOMA-β compared to other CDKAL1 variants in both diabetic (38.6 ± 19.3 vs. 48.2 ± 21.2, P adjusted = 0.019–0.044) and non-diabetic (91.8 ± 42.1 vs. 108 ± 47.2, P adjusted = 0.0054–0.01) patients. The carriage of the risk haplogenotypes of CDKAL1 was associated with reduced response to non-sulfonylurea and sulfonylurea agonists of the pancreatic KATP channel. These data suggest that CDKAL1 is involved in the pathogenesis of T2D through impaired beta-cell function.","DOI":"10.1007/s00592-011-0299-4","ISSN":"0940-5429, 1432-5233","journalAbbreviation":"Acta Diabetol","language":"en","author":[{"family":"Chistiakov","given":"Dimitry A."},{"family":"Potapov","given":"V. A."},{"family":"Smetanina","given":"S. A."},{"family":"Bel’chikova","given":"L. N."},{"family":"Suplotova","given":"L. A."},{"family":"Nosikov","given":"V. V."}],"issued":{"date-parts":[["2011",9,1]]},"accessed":{"date-parts":[["2014",5,23]]}}}],"schema":"https://github.com/citation-style-language/schema/raw/master/csl-citation.json"} </w:instrText>
      </w:r>
      <w:r w:rsidR="00070277">
        <w:rPr>
          <w:rFonts w:ascii="Arial" w:hAnsi="Arial"/>
          <w:color w:val="0000FF"/>
        </w:rPr>
        <w:fldChar w:fldCharType="separate"/>
      </w:r>
      <w:r w:rsidR="00070277" w:rsidRPr="00070277">
        <w:rPr>
          <w:rFonts w:ascii="Arial" w:hAnsi="Arial" w:cs="Arial"/>
          <w:color w:val="0000FF"/>
          <w:vertAlign w:val="superscript"/>
        </w:rPr>
        <w:t>11</w:t>
      </w:r>
      <w:r w:rsidR="00070277">
        <w:rPr>
          <w:rFonts w:ascii="Arial" w:hAnsi="Arial"/>
          <w:color w:val="0000FF"/>
        </w:rPr>
        <w:fldChar w:fldCharType="end"/>
      </w:r>
      <w:r w:rsidR="007F382C">
        <w:rPr>
          <w:rFonts w:ascii="Arial" w:hAnsi="Arial"/>
          <w:color w:val="0000FF"/>
        </w:rPr>
        <w:t xml:space="preserve"> </w:t>
      </w:r>
      <w:r w:rsidR="007B5F66">
        <w:rPr>
          <w:rFonts w:ascii="Arial" w:hAnsi="Arial"/>
          <w:color w:val="0000FF"/>
        </w:rPr>
        <w:t xml:space="preserve">In fact, OMIM has redubbed this variant “of unknown significance”. </w:t>
      </w:r>
    </w:p>
    <w:p w14:paraId="510EDFEA" w14:textId="77777777" w:rsidR="00070277" w:rsidRPr="00D35FCE" w:rsidRDefault="00070277" w:rsidP="00D35FCE">
      <w:pPr>
        <w:rPr>
          <w:rFonts w:ascii="Arial" w:hAnsi="Arial"/>
          <w:color w:val="0000FF"/>
        </w:rPr>
      </w:pPr>
    </w:p>
    <w:p w14:paraId="0A0A08C2" w14:textId="44D5AA48" w:rsidR="00486F40" w:rsidRPr="00070277" w:rsidRDefault="00D35FCE" w:rsidP="00D35FCE">
      <w:pPr>
        <w:pStyle w:val="Bibliography"/>
        <w:tabs>
          <w:tab w:val="clear" w:pos="260"/>
          <w:tab w:val="left" w:pos="720"/>
        </w:tabs>
        <w:ind w:left="720" w:firstLine="0"/>
        <w:rPr>
          <w:rFonts w:ascii="Arial" w:hAnsi="Arial" w:cs="Arial"/>
          <w:color w:val="0000FF"/>
        </w:rPr>
      </w:pPr>
      <w:r>
        <w:rPr>
          <w:rFonts w:ascii="Arial" w:hAnsi="Arial" w:cs="Arial"/>
          <w:color w:val="0000FF"/>
        </w:rPr>
        <w:t>11.</w:t>
      </w:r>
      <w:r w:rsidR="00486F40" w:rsidRPr="00070277">
        <w:rPr>
          <w:rFonts w:ascii="Arial" w:hAnsi="Arial" w:cs="Arial"/>
          <w:color w:val="0000FF"/>
        </w:rPr>
        <w:t xml:space="preserve">Chistiakov, D. A. </w:t>
      </w:r>
      <w:r w:rsidR="00486F40" w:rsidRPr="00070277">
        <w:rPr>
          <w:rFonts w:ascii="Arial" w:hAnsi="Arial" w:cs="Arial"/>
          <w:i/>
          <w:iCs/>
          <w:color w:val="0000FF"/>
        </w:rPr>
        <w:t>et al.</w:t>
      </w:r>
      <w:r w:rsidR="00486F40" w:rsidRPr="00070277">
        <w:rPr>
          <w:rFonts w:ascii="Arial" w:hAnsi="Arial" w:cs="Arial"/>
          <w:color w:val="0000FF"/>
        </w:rPr>
        <w:t xml:space="preserve"> The carriage of risk variants of CDKAL1 impairs beta-cell function in both diabetic and non-diabetic patients and reduces response to non-sulfonylurea and sulfonylurea agonists of the pancreatic KATP channel. </w:t>
      </w:r>
      <w:r w:rsidR="00486F40" w:rsidRPr="00070277">
        <w:rPr>
          <w:rFonts w:ascii="Arial" w:hAnsi="Arial" w:cs="Arial"/>
          <w:i/>
          <w:iCs/>
          <w:color w:val="0000FF"/>
        </w:rPr>
        <w:t>Acta Diabetol.</w:t>
      </w:r>
      <w:r w:rsidR="00486F40" w:rsidRPr="00070277">
        <w:rPr>
          <w:rFonts w:ascii="Arial" w:hAnsi="Arial" w:cs="Arial"/>
          <w:color w:val="0000FF"/>
        </w:rPr>
        <w:t xml:space="preserve"> </w:t>
      </w:r>
      <w:r w:rsidR="00486F40" w:rsidRPr="00070277">
        <w:rPr>
          <w:rFonts w:ascii="Arial" w:hAnsi="Arial" w:cs="Arial"/>
          <w:b/>
          <w:bCs/>
          <w:color w:val="0000FF"/>
        </w:rPr>
        <w:t>48,</w:t>
      </w:r>
      <w:r w:rsidR="00486F40" w:rsidRPr="00070277">
        <w:rPr>
          <w:rFonts w:ascii="Arial" w:hAnsi="Arial" w:cs="Arial"/>
          <w:color w:val="0000FF"/>
        </w:rPr>
        <w:t xml:space="preserve"> 227–235 (2011).</w:t>
      </w:r>
    </w:p>
    <w:p w14:paraId="4AFAC116" w14:textId="77777777" w:rsidR="006E10B2" w:rsidRPr="00A8454B" w:rsidRDefault="006E10B2" w:rsidP="002712BE">
      <w:pPr>
        <w:rPr>
          <w:rFonts w:ascii="Arial" w:hAnsi="Arial"/>
        </w:rPr>
      </w:pPr>
    </w:p>
    <w:p w14:paraId="10CE5352" w14:textId="77777777" w:rsidR="007F4ACB" w:rsidRPr="00A8454B" w:rsidRDefault="007F4ACB" w:rsidP="002712BE">
      <w:pPr>
        <w:rPr>
          <w:rFonts w:ascii="Arial" w:hAnsi="Arial"/>
        </w:rPr>
      </w:pPr>
    </w:p>
    <w:p w14:paraId="565F1A99" w14:textId="77777777"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198C4710" w14:textId="77777777" w:rsidR="0039136E" w:rsidRDefault="0039136E" w:rsidP="002712BE">
      <w:pPr>
        <w:rPr>
          <w:rFonts w:ascii="Arial" w:hAnsi="Arial"/>
        </w:rPr>
      </w:pPr>
    </w:p>
    <w:p w14:paraId="358EDE5F"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r w:rsidR="00A87D75">
        <w:rPr>
          <w:rFonts w:ascii="Arial" w:hAnsi="Arial"/>
          <w:i/>
        </w:rPr>
        <w:t>15 points total</w:t>
      </w:r>
      <w:r w:rsidR="00B95AFC" w:rsidRPr="00A8454B">
        <w:rPr>
          <w:rFonts w:ascii="Arial" w:hAnsi="Arial"/>
          <w:i/>
        </w:rPr>
        <w:t>)</w:t>
      </w:r>
    </w:p>
    <w:p w14:paraId="44F5A6C5" w14:textId="77777777" w:rsidR="00113B60" w:rsidRDefault="00113B60" w:rsidP="002712BE">
      <w:pPr>
        <w:rPr>
          <w:rFonts w:ascii="Arial" w:hAnsi="Arial"/>
          <w:i/>
        </w:rPr>
      </w:pPr>
    </w:p>
    <w:p w14:paraId="1F0BBF9E" w14:textId="2D2B5CE3" w:rsidR="00113B60" w:rsidRPr="00DB3D7A" w:rsidRDefault="00706AB2" w:rsidP="002712BE">
      <w:pPr>
        <w:rPr>
          <w:rFonts w:ascii="Arial" w:hAnsi="Arial"/>
          <w:color w:val="0000FF"/>
        </w:rPr>
      </w:pPr>
      <w:r w:rsidRPr="00DB3D7A">
        <w:rPr>
          <w:rFonts w:ascii="Arial" w:hAnsi="Arial"/>
          <w:color w:val="0000FF"/>
        </w:rPr>
        <w:t>Hemochromatosis: The mother is AG; father is GG. A is the risk allele. 50% change of having a homozygote GG (no disease); 50% chance of having a heterozygote. Child would be ok as a heterozygote unless they also had the H63D mutation.</w:t>
      </w:r>
      <w:r w:rsidR="00C107B5" w:rsidRPr="00DB3D7A">
        <w:rPr>
          <w:rFonts w:ascii="Arial" w:hAnsi="Arial"/>
          <w:color w:val="0000FF"/>
        </w:rPr>
        <w:t xml:space="preserve"> However, neither parent carries that SNP (rs1799945[G]), so they have a 0% chance of having a child with hemochromatosis.</w:t>
      </w:r>
    </w:p>
    <w:p w14:paraId="6054B833" w14:textId="77777777" w:rsidR="00C107B5" w:rsidRPr="00DB3D7A" w:rsidRDefault="00C107B5" w:rsidP="002712BE">
      <w:pPr>
        <w:rPr>
          <w:rFonts w:ascii="Arial" w:hAnsi="Arial"/>
          <w:color w:val="0000FF"/>
        </w:rPr>
      </w:pPr>
    </w:p>
    <w:p w14:paraId="20C2C107" w14:textId="34559859" w:rsidR="00113B60" w:rsidRPr="00DB3D7A" w:rsidRDefault="00C107B5" w:rsidP="002712BE">
      <w:pPr>
        <w:rPr>
          <w:rFonts w:ascii="Arial" w:hAnsi="Arial"/>
          <w:color w:val="0000FF"/>
        </w:rPr>
      </w:pPr>
      <w:r w:rsidRPr="00DB3D7A">
        <w:rPr>
          <w:rFonts w:ascii="Arial" w:hAnsi="Arial"/>
          <w:color w:val="0000FF"/>
        </w:rPr>
        <w:t>Alzheimer’s: Not good. Father is (rs429358,rs7421:CC,CC) a homozygote for the APOE-E4 allele which confers a 11x risk of Alzheimer’s. The mother is (CT,CC) a heterozygote APOE-E4/AP</w:t>
      </w:r>
      <w:r w:rsidR="00703C47" w:rsidRPr="00DB3D7A">
        <w:rPr>
          <w:rFonts w:ascii="Arial" w:hAnsi="Arial"/>
          <w:color w:val="0000FF"/>
        </w:rPr>
        <w:t xml:space="preserve">OE-E3 which gives her a 2x risk. Their child has a 50% chance of being E4/E4 (11x risk) and a 50% chance of being E4/E3 (2x risk). In either case, their child will have an elevated risk of developing Alzheimer’s. </w:t>
      </w:r>
    </w:p>
    <w:p w14:paraId="08C92633" w14:textId="77777777" w:rsidR="008F6F77" w:rsidRPr="00DB3D7A" w:rsidRDefault="008F6F77" w:rsidP="002712BE">
      <w:pPr>
        <w:rPr>
          <w:rFonts w:ascii="Arial" w:hAnsi="Arial"/>
          <w:color w:val="0000FF"/>
        </w:rPr>
      </w:pPr>
    </w:p>
    <w:p w14:paraId="27CB240F" w14:textId="59AE43EC" w:rsidR="008F6F77" w:rsidRPr="00DB3D7A" w:rsidRDefault="008F6F77" w:rsidP="002712BE">
      <w:pPr>
        <w:rPr>
          <w:rFonts w:ascii="Arial" w:hAnsi="Arial"/>
          <w:color w:val="0000FF"/>
        </w:rPr>
      </w:pPr>
      <w:r w:rsidRPr="00DB3D7A">
        <w:rPr>
          <w:rFonts w:ascii="Arial" w:hAnsi="Arial"/>
          <w:color w:val="0000FF"/>
        </w:rPr>
        <w:t>Breast Cancer: As noted above, the mother is a carrier for the BRCA1 mutation</w:t>
      </w:r>
      <w:r w:rsidR="0069057A" w:rsidRPr="00DB3D7A">
        <w:rPr>
          <w:rFonts w:ascii="Arial" w:hAnsi="Arial"/>
          <w:color w:val="0000FF"/>
        </w:rPr>
        <w:t xml:space="preserve"> (DI)</w:t>
      </w:r>
      <w:r w:rsidRPr="00DB3D7A">
        <w:rPr>
          <w:rFonts w:ascii="Arial" w:hAnsi="Arial"/>
          <w:color w:val="0000FF"/>
        </w:rPr>
        <w:t>. The father is a homozygote non carrier</w:t>
      </w:r>
      <w:r w:rsidR="0069057A" w:rsidRPr="00DB3D7A">
        <w:rPr>
          <w:rFonts w:ascii="Arial" w:hAnsi="Arial"/>
          <w:color w:val="0000FF"/>
        </w:rPr>
        <w:t xml:space="preserve"> (II)</w:t>
      </w:r>
      <w:r w:rsidRPr="00DB3D7A">
        <w:rPr>
          <w:rFonts w:ascii="Arial" w:hAnsi="Arial"/>
          <w:color w:val="0000FF"/>
        </w:rPr>
        <w:t xml:space="preserve">. </w:t>
      </w:r>
      <w:r w:rsidR="0069057A" w:rsidRPr="00DB3D7A">
        <w:rPr>
          <w:rFonts w:ascii="Arial" w:hAnsi="Arial"/>
          <w:color w:val="0000FF"/>
        </w:rPr>
        <w:t>They have a 50% chance of having a child who carrries the mutation (DI) conferring a significantly increased risk of getting breast cancer.</w:t>
      </w:r>
    </w:p>
    <w:p w14:paraId="47AD2D43" w14:textId="77777777" w:rsidR="0069057A" w:rsidRPr="00DB3D7A" w:rsidRDefault="0069057A" w:rsidP="002712BE">
      <w:pPr>
        <w:rPr>
          <w:rFonts w:ascii="Arial" w:hAnsi="Arial"/>
          <w:color w:val="0000FF"/>
        </w:rPr>
      </w:pPr>
    </w:p>
    <w:p w14:paraId="0D7093BF" w14:textId="55662CCD" w:rsidR="0069057A" w:rsidRPr="00DB3D7A" w:rsidRDefault="0069057A" w:rsidP="002712BE">
      <w:pPr>
        <w:rPr>
          <w:rFonts w:ascii="Arial" w:hAnsi="Arial"/>
          <w:color w:val="0000FF"/>
        </w:rPr>
      </w:pPr>
      <w:r w:rsidRPr="00DB3D7A">
        <w:rPr>
          <w:rFonts w:ascii="Arial" w:hAnsi="Arial"/>
          <w:color w:val="0000FF"/>
        </w:rPr>
        <w:t>Cystic Fibrosis: Both the mother and the father are carriers for the CF mutation (DI). They have a 25% chance of having a child with CF</w:t>
      </w:r>
      <w:r w:rsidR="00564968" w:rsidRPr="00DB3D7A">
        <w:rPr>
          <w:rFonts w:ascii="Arial" w:hAnsi="Arial"/>
          <w:color w:val="0000FF"/>
        </w:rPr>
        <w:t>.</w:t>
      </w:r>
    </w:p>
    <w:p w14:paraId="1D3D5803" w14:textId="77777777" w:rsidR="00564968" w:rsidRPr="00DB3D7A" w:rsidRDefault="00564968" w:rsidP="002712BE">
      <w:pPr>
        <w:rPr>
          <w:rFonts w:ascii="Arial" w:hAnsi="Arial"/>
          <w:color w:val="0000FF"/>
        </w:rPr>
      </w:pPr>
    </w:p>
    <w:p w14:paraId="4BD199C6" w14:textId="467325F2" w:rsidR="00564968" w:rsidRPr="00DB3D7A" w:rsidRDefault="00564968" w:rsidP="002712BE">
      <w:pPr>
        <w:rPr>
          <w:rFonts w:ascii="Arial" w:hAnsi="Arial"/>
          <w:i/>
          <w:color w:val="0000FF"/>
        </w:rPr>
      </w:pPr>
      <w:r w:rsidRPr="00DB3D7A">
        <w:rPr>
          <w:rFonts w:ascii="Arial" w:hAnsi="Arial"/>
          <w:color w:val="0000FF"/>
        </w:rPr>
        <w:t xml:space="preserve">Sickle Cell: Mother and father are both homozygotes for the </w:t>
      </w:r>
      <w:r w:rsidR="00DB3D7A" w:rsidRPr="00DB3D7A">
        <w:rPr>
          <w:rFonts w:ascii="Arial" w:hAnsi="Arial"/>
          <w:color w:val="0000FF"/>
        </w:rPr>
        <w:t>major, non-risk allele (AA). They have a 0% chance of having a child with sickle cell.</w:t>
      </w:r>
    </w:p>
    <w:p w14:paraId="7F08FFE6" w14:textId="77777777" w:rsidR="00113B60" w:rsidRPr="00ED5280" w:rsidRDefault="00113B60" w:rsidP="002712BE">
      <w:pPr>
        <w:rPr>
          <w:rFonts w:ascii="Arial" w:hAnsi="Arial"/>
          <w:i/>
        </w:rPr>
      </w:pPr>
    </w:p>
    <w:p w14:paraId="174E2746"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2C4560B4" w14:textId="77777777" w:rsidR="00ED5280" w:rsidRPr="00ED5280" w:rsidRDefault="00ED5280" w:rsidP="00ED5280">
      <w:pPr>
        <w:rPr>
          <w:rFonts w:ascii="Arial" w:hAnsi="Arial" w:cs="Arial"/>
        </w:rPr>
      </w:pPr>
    </w:p>
    <w:p w14:paraId="7C9B9CAC" w14:textId="77777777" w:rsidR="00ED5280" w:rsidRPr="00ED5280" w:rsidRDefault="00ED5280" w:rsidP="00ED5280">
      <w:pPr>
        <w:rPr>
          <w:rFonts w:ascii="Arial" w:hAnsi="Arial" w:cs="Arial"/>
        </w:rPr>
      </w:pPr>
      <w:r w:rsidRPr="00ED5280">
        <w:rPr>
          <w:rFonts w:ascii="Arial" w:hAnsi="Arial" w:cs="Arial"/>
        </w:rPr>
        <w:t xml:space="preserve">A) A pregnant woman seeks non-invasive prenatal genetic testing and provides a sample of plasma. You isolate the cell-free DNA (cfDNA) from the maternal plasma and determine that 10% of it is derived from the fetus. You perform whole genome sequencing on genomic DNA samples from the mother and father. Next </w:t>
      </w:r>
      <w:r w:rsidRPr="00ED5280">
        <w:rPr>
          <w:rFonts w:ascii="Arial" w:hAnsi="Arial" w:cs="Arial"/>
        </w:rPr>
        <w:lastRenderedPageBreak/>
        <w:t xml:space="preserve">you perform whole genome sequencing on the cfDNA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cfDNA sequencing to infer the genotype of the fetus at each of three sites and fill them in the table.</w:t>
      </w:r>
    </w:p>
    <w:p w14:paraId="78D67708" w14:textId="33AB8642" w:rsidR="00ED5280" w:rsidRPr="00685561" w:rsidRDefault="000868A6" w:rsidP="00ED5280">
      <w:pPr>
        <w:rPr>
          <w:rFonts w:ascii="Arial" w:hAnsi="Arial" w:cs="Arial"/>
          <w:color w:val="0000FF"/>
        </w:rPr>
      </w:pPr>
      <w:r>
        <w:rPr>
          <w:rFonts w:ascii="Arial" w:hAnsi="Arial" w:cs="Arial"/>
          <w:noProof/>
        </w:rPr>
        <mc:AlternateContent>
          <mc:Choice Requires="wps">
            <w:drawing>
              <wp:anchor distT="0" distB="0" distL="114300" distR="114300" simplePos="0" relativeHeight="251660288" behindDoc="0" locked="0" layoutInCell="1" allowOverlap="1" wp14:anchorId="48670E4C" wp14:editId="349C5480">
                <wp:simplePos x="0" y="0"/>
                <wp:positionH relativeFrom="column">
                  <wp:posOffset>0</wp:posOffset>
                </wp:positionH>
                <wp:positionV relativeFrom="paragraph">
                  <wp:posOffset>220980</wp:posOffset>
                </wp:positionV>
                <wp:extent cx="5486400" cy="1926590"/>
                <wp:effectExtent l="0" t="0" r="0" b="381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6217C2" w14:textId="77777777" w:rsidR="00436CAF" w:rsidRDefault="00436CAF" w:rsidP="00ED5280">
                            <w:pPr>
                              <w:jc w:val="center"/>
                            </w:pPr>
                            <w:r>
                              <w:rPr>
                                <w:noProof/>
                              </w:rPr>
                              <w:drawing>
                                <wp:inline distT="0" distB="0" distL="0" distR="0" wp14:anchorId="783A1BD2" wp14:editId="684A4AA3">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2" o:spid="_x0000_s1026" type="#_x0000_t202" style="position:absolute;margin-left:0;margin-top:17.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" filled="f" stroked="f">
                <v:path arrowok="t"/>
                <v:textbox>
                  <w:txbxContent>
                    <w:p w14:paraId="586217C2" w14:textId="77777777" w:rsidR="00436CAF" w:rsidRDefault="00436CAF" w:rsidP="00ED5280">
                      <w:pPr>
                        <w:jc w:val="center"/>
                      </w:pPr>
                      <w:r>
                        <w:rPr>
                          <w:noProof/>
                        </w:rPr>
                        <w:drawing>
                          <wp:inline distT="0" distB="0" distL="0" distR="0" wp14:anchorId="783A1BD2" wp14:editId="684A4AA3">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r w:rsidR="00685561">
        <w:rPr>
          <w:rFonts w:ascii="Arial" w:hAnsi="Arial" w:cs="Arial"/>
          <w:color w:val="0000FF"/>
        </w:rPr>
        <w:t>100 total reads: 45 per maternal chromosome, 5 per fetal chromosome.</w:t>
      </w:r>
    </w:p>
    <w:p w14:paraId="56A1542F"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197"/>
      </w:tblGrid>
      <w:tr w:rsidR="00352C4E" w:rsidRPr="00ED5280" w14:paraId="2F9045E2" w14:textId="77777777" w:rsidTr="000101B1">
        <w:tc>
          <w:tcPr>
            <w:tcW w:w="2952" w:type="dxa"/>
          </w:tcPr>
          <w:p w14:paraId="062766AB" w14:textId="77777777" w:rsidR="00352C4E" w:rsidRPr="00ED5280" w:rsidRDefault="00352C4E" w:rsidP="000101B1">
            <w:pPr>
              <w:rPr>
                <w:rFonts w:ascii="Arial" w:hAnsi="Arial" w:cs="Arial"/>
              </w:rPr>
            </w:pPr>
          </w:p>
        </w:tc>
        <w:tc>
          <w:tcPr>
            <w:tcW w:w="2197" w:type="dxa"/>
          </w:tcPr>
          <w:p w14:paraId="309A6E90" w14:textId="77777777" w:rsidR="00352C4E" w:rsidRPr="00ED5280" w:rsidRDefault="00352C4E" w:rsidP="000101B1">
            <w:pPr>
              <w:rPr>
                <w:rFonts w:ascii="Arial" w:hAnsi="Arial" w:cs="Arial"/>
              </w:rPr>
            </w:pPr>
            <w:r w:rsidRPr="00ED5280">
              <w:rPr>
                <w:rFonts w:ascii="Arial" w:hAnsi="Arial" w:cs="Arial"/>
              </w:rPr>
              <w:t>A reads expected</w:t>
            </w:r>
          </w:p>
        </w:tc>
      </w:tr>
      <w:tr w:rsidR="00352C4E" w:rsidRPr="00ED5280" w14:paraId="3DF41672" w14:textId="77777777" w:rsidTr="000101B1">
        <w:tc>
          <w:tcPr>
            <w:tcW w:w="2952" w:type="dxa"/>
          </w:tcPr>
          <w:p w14:paraId="4CD5B216" w14:textId="77777777" w:rsidR="00352C4E" w:rsidRPr="00ED5280" w:rsidRDefault="00352C4E" w:rsidP="000101B1">
            <w:pPr>
              <w:rPr>
                <w:rFonts w:ascii="Arial" w:hAnsi="Arial" w:cs="Arial"/>
              </w:rPr>
            </w:pPr>
            <w:r w:rsidRPr="00ED5280">
              <w:rPr>
                <w:rFonts w:ascii="Arial" w:hAnsi="Arial" w:cs="Arial"/>
              </w:rPr>
              <w:t>If mother transmits A</w:t>
            </w:r>
          </w:p>
        </w:tc>
        <w:tc>
          <w:tcPr>
            <w:tcW w:w="2197" w:type="dxa"/>
          </w:tcPr>
          <w:p w14:paraId="3D1DDEAB" w14:textId="25FB8AED" w:rsidR="00352C4E" w:rsidRPr="001E7FCD" w:rsidRDefault="001E7FCD" w:rsidP="000101B1">
            <w:pPr>
              <w:rPr>
                <w:rFonts w:ascii="Arial" w:hAnsi="Arial" w:cs="Arial"/>
                <w:color w:val="0000FF"/>
              </w:rPr>
            </w:pPr>
            <w:r w:rsidRPr="001E7FCD">
              <w:rPr>
                <w:rFonts w:ascii="Arial" w:hAnsi="Arial" w:cs="Arial"/>
                <w:color w:val="0000FF"/>
              </w:rPr>
              <w:t>55</w:t>
            </w:r>
          </w:p>
        </w:tc>
      </w:tr>
      <w:tr w:rsidR="00352C4E" w:rsidRPr="00ED5280" w14:paraId="01D041A8" w14:textId="77777777" w:rsidTr="000101B1">
        <w:tc>
          <w:tcPr>
            <w:tcW w:w="2952" w:type="dxa"/>
          </w:tcPr>
          <w:p w14:paraId="580DE276" w14:textId="77777777" w:rsidR="00352C4E" w:rsidRPr="00ED5280" w:rsidRDefault="00352C4E" w:rsidP="000101B1">
            <w:pPr>
              <w:rPr>
                <w:rFonts w:ascii="Arial" w:hAnsi="Arial" w:cs="Arial"/>
              </w:rPr>
            </w:pPr>
            <w:r w:rsidRPr="00ED5280">
              <w:rPr>
                <w:rFonts w:ascii="Arial" w:hAnsi="Arial" w:cs="Arial"/>
              </w:rPr>
              <w:t>If mother transmits G</w:t>
            </w:r>
          </w:p>
        </w:tc>
        <w:tc>
          <w:tcPr>
            <w:tcW w:w="2197" w:type="dxa"/>
          </w:tcPr>
          <w:p w14:paraId="27B5BAE9" w14:textId="3E0D6F27" w:rsidR="00352C4E" w:rsidRPr="001E7FCD" w:rsidRDefault="001E7FCD" w:rsidP="000101B1">
            <w:pPr>
              <w:rPr>
                <w:rFonts w:ascii="Arial" w:hAnsi="Arial" w:cs="Arial"/>
                <w:color w:val="0000FF"/>
              </w:rPr>
            </w:pPr>
            <w:r w:rsidRPr="001E7FCD">
              <w:rPr>
                <w:rFonts w:ascii="Arial" w:hAnsi="Arial" w:cs="Arial"/>
                <w:color w:val="0000FF"/>
              </w:rPr>
              <w:t>50</w:t>
            </w:r>
          </w:p>
        </w:tc>
      </w:tr>
    </w:tbl>
    <w:p w14:paraId="2D7388AC" w14:textId="77777777" w:rsidR="00ED5280" w:rsidRPr="00ED5280" w:rsidRDefault="00ED5280" w:rsidP="00ED5280">
      <w:pPr>
        <w:rPr>
          <w:rFonts w:ascii="Arial" w:hAnsi="Arial" w:cs="Arial"/>
        </w:rPr>
      </w:pPr>
    </w:p>
    <w:p w14:paraId="444F02A2"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160"/>
      </w:tblGrid>
      <w:tr w:rsidR="00352C4E" w:rsidRPr="00ED5280" w14:paraId="6E6B6A3E" w14:textId="77777777" w:rsidTr="000101B1">
        <w:tc>
          <w:tcPr>
            <w:tcW w:w="2952" w:type="dxa"/>
          </w:tcPr>
          <w:p w14:paraId="2624CAA8" w14:textId="77777777" w:rsidR="00352C4E" w:rsidRPr="00ED5280" w:rsidRDefault="00352C4E" w:rsidP="000101B1">
            <w:pPr>
              <w:rPr>
                <w:rFonts w:ascii="Arial" w:hAnsi="Arial" w:cs="Arial"/>
              </w:rPr>
            </w:pPr>
          </w:p>
        </w:tc>
        <w:tc>
          <w:tcPr>
            <w:tcW w:w="2160" w:type="dxa"/>
          </w:tcPr>
          <w:p w14:paraId="6C7F65A5" w14:textId="77777777" w:rsidR="00352C4E" w:rsidRPr="00ED5280" w:rsidRDefault="00352C4E" w:rsidP="000101B1">
            <w:pPr>
              <w:rPr>
                <w:rFonts w:ascii="Arial" w:hAnsi="Arial" w:cs="Arial"/>
              </w:rPr>
            </w:pPr>
            <w:r w:rsidRPr="00ED5280">
              <w:rPr>
                <w:rFonts w:ascii="Arial" w:hAnsi="Arial" w:cs="Arial"/>
              </w:rPr>
              <w:t>A reads expected</w:t>
            </w:r>
          </w:p>
        </w:tc>
      </w:tr>
      <w:tr w:rsidR="00352C4E" w:rsidRPr="00ED5280" w14:paraId="3C2FC2A7" w14:textId="77777777" w:rsidTr="000101B1">
        <w:tc>
          <w:tcPr>
            <w:tcW w:w="2952" w:type="dxa"/>
          </w:tcPr>
          <w:p w14:paraId="29D7BDBE" w14:textId="77777777" w:rsidR="00352C4E" w:rsidRPr="00ED5280" w:rsidRDefault="00352C4E" w:rsidP="000101B1">
            <w:pPr>
              <w:rPr>
                <w:rFonts w:ascii="Arial" w:hAnsi="Arial" w:cs="Arial"/>
              </w:rPr>
            </w:pPr>
            <w:r w:rsidRPr="00ED5280">
              <w:rPr>
                <w:rFonts w:ascii="Arial" w:hAnsi="Arial" w:cs="Arial"/>
              </w:rPr>
              <w:t>If mother transmits A</w:t>
            </w:r>
          </w:p>
        </w:tc>
        <w:tc>
          <w:tcPr>
            <w:tcW w:w="2160" w:type="dxa"/>
          </w:tcPr>
          <w:p w14:paraId="5496E72E" w14:textId="246E08D5" w:rsidR="00352C4E" w:rsidRPr="001E7FCD" w:rsidRDefault="001E7FCD" w:rsidP="000101B1">
            <w:pPr>
              <w:rPr>
                <w:rFonts w:ascii="Arial" w:hAnsi="Arial" w:cs="Arial"/>
                <w:color w:val="0000FF"/>
              </w:rPr>
            </w:pPr>
            <w:r w:rsidRPr="001E7FCD">
              <w:rPr>
                <w:rFonts w:ascii="Arial" w:hAnsi="Arial" w:cs="Arial"/>
                <w:color w:val="0000FF"/>
              </w:rPr>
              <w:t>55</w:t>
            </w:r>
          </w:p>
        </w:tc>
      </w:tr>
      <w:tr w:rsidR="00352C4E" w:rsidRPr="00ED5280" w14:paraId="6BA5A747" w14:textId="77777777" w:rsidTr="000101B1">
        <w:tc>
          <w:tcPr>
            <w:tcW w:w="2952" w:type="dxa"/>
          </w:tcPr>
          <w:p w14:paraId="0F4B4C93" w14:textId="77777777" w:rsidR="00352C4E" w:rsidRPr="00ED5280" w:rsidRDefault="00352C4E" w:rsidP="000101B1">
            <w:pPr>
              <w:rPr>
                <w:rFonts w:ascii="Arial" w:hAnsi="Arial" w:cs="Arial"/>
              </w:rPr>
            </w:pPr>
            <w:r w:rsidRPr="00ED5280">
              <w:rPr>
                <w:rFonts w:ascii="Arial" w:hAnsi="Arial" w:cs="Arial"/>
              </w:rPr>
              <w:t>If mother transmits G</w:t>
            </w:r>
          </w:p>
        </w:tc>
        <w:tc>
          <w:tcPr>
            <w:tcW w:w="2160" w:type="dxa"/>
          </w:tcPr>
          <w:p w14:paraId="56C556F4" w14:textId="2C5588CE" w:rsidR="00352C4E" w:rsidRPr="001E7FCD" w:rsidRDefault="001E7FCD" w:rsidP="000101B1">
            <w:pPr>
              <w:rPr>
                <w:rFonts w:ascii="Arial" w:hAnsi="Arial" w:cs="Arial"/>
                <w:color w:val="0000FF"/>
              </w:rPr>
            </w:pPr>
            <w:r>
              <w:rPr>
                <w:rFonts w:ascii="Arial" w:hAnsi="Arial" w:cs="Arial"/>
                <w:color w:val="0000FF"/>
              </w:rPr>
              <w:t>50</w:t>
            </w:r>
          </w:p>
        </w:tc>
      </w:tr>
    </w:tbl>
    <w:p w14:paraId="4D0F4A6D" w14:textId="77777777" w:rsidR="00ED5280" w:rsidRPr="00ED5280" w:rsidRDefault="00ED5280" w:rsidP="00ED5280">
      <w:pPr>
        <w:rPr>
          <w:rFonts w:ascii="Arial" w:hAnsi="Arial" w:cs="Arial"/>
        </w:rPr>
      </w:pPr>
    </w:p>
    <w:p w14:paraId="5EA70659"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160"/>
      </w:tblGrid>
      <w:tr w:rsidR="00352C4E" w:rsidRPr="00ED5280" w14:paraId="6C41B4C7" w14:textId="77777777" w:rsidTr="000101B1">
        <w:tc>
          <w:tcPr>
            <w:tcW w:w="2952" w:type="dxa"/>
          </w:tcPr>
          <w:p w14:paraId="48AB5A80" w14:textId="77777777" w:rsidR="00352C4E" w:rsidRPr="00ED5280" w:rsidRDefault="00352C4E" w:rsidP="000101B1">
            <w:pPr>
              <w:rPr>
                <w:rFonts w:ascii="Arial" w:hAnsi="Arial" w:cs="Arial"/>
              </w:rPr>
            </w:pPr>
          </w:p>
        </w:tc>
        <w:tc>
          <w:tcPr>
            <w:tcW w:w="2160" w:type="dxa"/>
          </w:tcPr>
          <w:p w14:paraId="70BBB5FE" w14:textId="77777777" w:rsidR="00352C4E" w:rsidRPr="00ED5280" w:rsidRDefault="00352C4E" w:rsidP="000101B1">
            <w:pPr>
              <w:rPr>
                <w:rFonts w:ascii="Arial" w:hAnsi="Arial" w:cs="Arial"/>
              </w:rPr>
            </w:pPr>
            <w:r w:rsidRPr="00ED5280">
              <w:rPr>
                <w:rFonts w:ascii="Arial" w:hAnsi="Arial" w:cs="Arial"/>
              </w:rPr>
              <w:t>T reads expected</w:t>
            </w:r>
          </w:p>
        </w:tc>
      </w:tr>
      <w:tr w:rsidR="00352C4E" w:rsidRPr="00ED5280" w14:paraId="4F828532" w14:textId="77777777" w:rsidTr="000101B1">
        <w:tc>
          <w:tcPr>
            <w:tcW w:w="2952" w:type="dxa"/>
          </w:tcPr>
          <w:p w14:paraId="2FC11886" w14:textId="77777777" w:rsidR="00352C4E" w:rsidRPr="00ED5280" w:rsidRDefault="00352C4E" w:rsidP="000101B1">
            <w:pPr>
              <w:rPr>
                <w:rFonts w:ascii="Arial" w:hAnsi="Arial" w:cs="Arial"/>
              </w:rPr>
            </w:pPr>
            <w:r w:rsidRPr="00ED5280">
              <w:rPr>
                <w:rFonts w:ascii="Arial" w:hAnsi="Arial" w:cs="Arial"/>
              </w:rPr>
              <w:t>If mother transmits T</w:t>
            </w:r>
          </w:p>
        </w:tc>
        <w:tc>
          <w:tcPr>
            <w:tcW w:w="2160" w:type="dxa"/>
          </w:tcPr>
          <w:p w14:paraId="1DD6AB9E" w14:textId="6116DEFB" w:rsidR="00352C4E" w:rsidRPr="001E7FCD" w:rsidRDefault="001E7FCD" w:rsidP="000101B1">
            <w:pPr>
              <w:rPr>
                <w:rFonts w:ascii="Arial" w:hAnsi="Arial" w:cs="Arial"/>
                <w:color w:val="0000FF"/>
              </w:rPr>
            </w:pPr>
            <w:r>
              <w:rPr>
                <w:rFonts w:ascii="Arial" w:hAnsi="Arial" w:cs="Arial"/>
                <w:color w:val="0000FF"/>
              </w:rPr>
              <w:t>55</w:t>
            </w:r>
          </w:p>
        </w:tc>
      </w:tr>
      <w:tr w:rsidR="00352C4E" w:rsidRPr="00ED5280" w14:paraId="276AF960" w14:textId="77777777" w:rsidTr="000101B1">
        <w:tc>
          <w:tcPr>
            <w:tcW w:w="2952" w:type="dxa"/>
          </w:tcPr>
          <w:p w14:paraId="5D3C9CDD" w14:textId="77777777" w:rsidR="00352C4E" w:rsidRPr="00ED5280" w:rsidRDefault="00352C4E" w:rsidP="000101B1">
            <w:pPr>
              <w:rPr>
                <w:rFonts w:ascii="Arial" w:hAnsi="Arial" w:cs="Arial"/>
              </w:rPr>
            </w:pPr>
            <w:r w:rsidRPr="00ED5280">
              <w:rPr>
                <w:rFonts w:ascii="Arial" w:hAnsi="Arial" w:cs="Arial"/>
              </w:rPr>
              <w:t>If mother transmits C</w:t>
            </w:r>
          </w:p>
        </w:tc>
        <w:tc>
          <w:tcPr>
            <w:tcW w:w="2160" w:type="dxa"/>
          </w:tcPr>
          <w:p w14:paraId="795AB1FC" w14:textId="45751B26" w:rsidR="00352C4E" w:rsidRPr="001E7FCD" w:rsidRDefault="001E7FCD" w:rsidP="000101B1">
            <w:pPr>
              <w:rPr>
                <w:rFonts w:ascii="Arial" w:hAnsi="Arial" w:cs="Arial"/>
                <w:color w:val="0000FF"/>
              </w:rPr>
            </w:pPr>
            <w:r>
              <w:rPr>
                <w:rFonts w:ascii="Arial" w:hAnsi="Arial" w:cs="Arial"/>
                <w:color w:val="0000FF"/>
              </w:rPr>
              <w:t>50</w:t>
            </w:r>
          </w:p>
        </w:tc>
      </w:tr>
    </w:tbl>
    <w:p w14:paraId="4DED8FD9" w14:textId="77777777" w:rsidR="00ED5280" w:rsidRDefault="00ED5280" w:rsidP="00ED5280">
      <w:pPr>
        <w:rPr>
          <w:rFonts w:ascii="Arial" w:hAnsi="Arial" w:cs="Arial"/>
        </w:rPr>
      </w:pPr>
    </w:p>
    <w:p w14:paraId="2DB4459C" w14:textId="77777777" w:rsidR="00352C4E" w:rsidRPr="00ED5280" w:rsidRDefault="00352C4E" w:rsidP="00352C4E">
      <w:pPr>
        <w:rPr>
          <w:rFonts w:ascii="Arial" w:hAnsi="Arial" w:cs="Arial"/>
          <w:b/>
        </w:rPr>
      </w:pPr>
      <w:r>
        <w:rPr>
          <w:rFonts w:ascii="Arial" w:hAnsi="Arial" w:cs="Arial"/>
          <w:b/>
        </w:rPr>
        <w:t>Observed reads in cell free DNA</w:t>
      </w:r>
    </w:p>
    <w:tbl>
      <w:tblPr>
        <w:tblStyle w:val="TableGrid"/>
        <w:tblW w:w="0" w:type="auto"/>
        <w:tblLook w:val="04A0" w:firstRow="1" w:lastRow="0" w:firstColumn="1" w:lastColumn="0" w:noHBand="0" w:noVBand="1"/>
      </w:tblPr>
      <w:tblGrid>
        <w:gridCol w:w="2952"/>
        <w:gridCol w:w="2286"/>
      </w:tblGrid>
      <w:tr w:rsidR="00352C4E" w:rsidRPr="00ED5280" w14:paraId="6846C350" w14:textId="77777777" w:rsidTr="00617ACE">
        <w:tc>
          <w:tcPr>
            <w:tcW w:w="2952" w:type="dxa"/>
          </w:tcPr>
          <w:p w14:paraId="77DF39F9" w14:textId="77777777" w:rsidR="00352C4E" w:rsidRPr="00ED5280" w:rsidRDefault="00352C4E" w:rsidP="00617ACE">
            <w:pPr>
              <w:rPr>
                <w:rFonts w:ascii="Arial" w:hAnsi="Arial" w:cs="Arial"/>
              </w:rPr>
            </w:pPr>
            <w:r>
              <w:rPr>
                <w:rFonts w:ascii="Arial" w:hAnsi="Arial" w:cs="Arial"/>
              </w:rPr>
              <w:t>Site 1</w:t>
            </w:r>
          </w:p>
        </w:tc>
        <w:tc>
          <w:tcPr>
            <w:tcW w:w="2286" w:type="dxa"/>
          </w:tcPr>
          <w:p w14:paraId="49C01086" w14:textId="77777777" w:rsidR="00352C4E" w:rsidRPr="00ED5280" w:rsidRDefault="00352C4E" w:rsidP="00617ACE">
            <w:pPr>
              <w:rPr>
                <w:rFonts w:ascii="Arial" w:hAnsi="Arial" w:cs="Arial"/>
              </w:rPr>
            </w:pPr>
            <w:r>
              <w:rPr>
                <w:rFonts w:ascii="Arial" w:hAnsi="Arial" w:cs="Arial"/>
              </w:rPr>
              <w:t>59 A reads</w:t>
            </w:r>
          </w:p>
        </w:tc>
      </w:tr>
      <w:tr w:rsidR="00352C4E" w:rsidRPr="00ED5280" w14:paraId="3B19E940" w14:textId="77777777" w:rsidTr="00617ACE">
        <w:tc>
          <w:tcPr>
            <w:tcW w:w="2952" w:type="dxa"/>
          </w:tcPr>
          <w:p w14:paraId="7DBFBDB5" w14:textId="77777777" w:rsidR="00352C4E" w:rsidRPr="00ED5280" w:rsidRDefault="00352C4E" w:rsidP="00617ACE">
            <w:pPr>
              <w:rPr>
                <w:rFonts w:ascii="Arial" w:hAnsi="Arial" w:cs="Arial"/>
              </w:rPr>
            </w:pPr>
            <w:r>
              <w:rPr>
                <w:rFonts w:ascii="Arial" w:hAnsi="Arial" w:cs="Arial"/>
              </w:rPr>
              <w:t>Site 2</w:t>
            </w:r>
          </w:p>
        </w:tc>
        <w:tc>
          <w:tcPr>
            <w:tcW w:w="2286" w:type="dxa"/>
          </w:tcPr>
          <w:p w14:paraId="3FDDCD4D" w14:textId="77777777" w:rsidR="00352C4E" w:rsidRPr="00ED5280" w:rsidRDefault="00352C4E" w:rsidP="00617ACE">
            <w:pPr>
              <w:rPr>
                <w:rFonts w:ascii="Arial" w:hAnsi="Arial" w:cs="Arial"/>
              </w:rPr>
            </w:pPr>
            <w:r>
              <w:rPr>
                <w:rFonts w:ascii="Arial" w:hAnsi="Arial" w:cs="Arial"/>
              </w:rPr>
              <w:t>52 A reads</w:t>
            </w:r>
          </w:p>
        </w:tc>
      </w:tr>
      <w:tr w:rsidR="00352C4E" w:rsidRPr="00ED5280" w14:paraId="151D0D66" w14:textId="77777777" w:rsidTr="00617ACE">
        <w:tc>
          <w:tcPr>
            <w:tcW w:w="2952" w:type="dxa"/>
          </w:tcPr>
          <w:p w14:paraId="6C1613C4" w14:textId="77777777" w:rsidR="00352C4E" w:rsidRPr="00ED5280" w:rsidRDefault="00352C4E" w:rsidP="00617ACE">
            <w:pPr>
              <w:rPr>
                <w:rFonts w:ascii="Arial" w:hAnsi="Arial" w:cs="Arial"/>
              </w:rPr>
            </w:pPr>
            <w:r>
              <w:rPr>
                <w:rFonts w:ascii="Arial" w:hAnsi="Arial" w:cs="Arial"/>
              </w:rPr>
              <w:t>Site 3</w:t>
            </w:r>
          </w:p>
        </w:tc>
        <w:tc>
          <w:tcPr>
            <w:tcW w:w="2286" w:type="dxa"/>
          </w:tcPr>
          <w:p w14:paraId="2601260A" w14:textId="77777777" w:rsidR="00352C4E" w:rsidRPr="00ED5280" w:rsidRDefault="00352C4E" w:rsidP="00617ACE">
            <w:pPr>
              <w:rPr>
                <w:rFonts w:ascii="Arial" w:hAnsi="Arial" w:cs="Arial"/>
              </w:rPr>
            </w:pPr>
            <w:r w:rsidRPr="00ED5280">
              <w:rPr>
                <w:rFonts w:ascii="Arial" w:hAnsi="Arial" w:cs="Arial"/>
              </w:rPr>
              <w:t>49</w:t>
            </w:r>
            <w:r>
              <w:rPr>
                <w:rFonts w:ascii="Arial" w:hAnsi="Arial" w:cs="Arial"/>
              </w:rPr>
              <w:t xml:space="preserve"> T reads</w:t>
            </w:r>
          </w:p>
        </w:tc>
      </w:tr>
    </w:tbl>
    <w:p w14:paraId="1697CBA3" w14:textId="77777777" w:rsidR="00352C4E" w:rsidRPr="00ED5280" w:rsidRDefault="00352C4E" w:rsidP="00352C4E">
      <w:pPr>
        <w:rPr>
          <w:rFonts w:ascii="Arial" w:hAnsi="Arial" w:cs="Arial"/>
        </w:rPr>
      </w:pPr>
    </w:p>
    <w:p w14:paraId="586BEDED" w14:textId="77777777" w:rsidR="00352C4E" w:rsidRDefault="00352C4E" w:rsidP="00ED5280">
      <w:pPr>
        <w:rPr>
          <w:rFonts w:ascii="Arial" w:hAnsi="Arial" w:cs="Arial"/>
        </w:rPr>
      </w:pPr>
    </w:p>
    <w:p w14:paraId="3F938267" w14:textId="77777777" w:rsidR="00352C4E" w:rsidRPr="00ED5280" w:rsidRDefault="00352C4E" w:rsidP="00ED5280">
      <w:pPr>
        <w:rPr>
          <w:rFonts w:ascii="Arial" w:hAnsi="Arial" w:cs="Arial"/>
        </w:rPr>
      </w:pPr>
    </w:p>
    <w:p w14:paraId="18FE7313"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74916894"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3A39E735" w14:textId="77777777" w:rsidTr="000101B1">
        <w:tc>
          <w:tcPr>
            <w:tcW w:w="864" w:type="dxa"/>
          </w:tcPr>
          <w:p w14:paraId="0965FD51" w14:textId="77777777" w:rsidR="00ED5280" w:rsidRPr="00ED5280" w:rsidRDefault="00ED5280" w:rsidP="000101B1">
            <w:pPr>
              <w:jc w:val="center"/>
              <w:rPr>
                <w:rFonts w:ascii="Arial" w:hAnsi="Arial" w:cs="Arial"/>
                <w:b/>
              </w:rPr>
            </w:pPr>
            <w:r w:rsidRPr="00ED5280">
              <w:rPr>
                <w:rFonts w:ascii="Arial" w:hAnsi="Arial" w:cs="Arial"/>
                <w:b/>
              </w:rPr>
              <w:t>Site 1</w:t>
            </w:r>
          </w:p>
        </w:tc>
        <w:tc>
          <w:tcPr>
            <w:tcW w:w="1116" w:type="dxa"/>
          </w:tcPr>
          <w:p w14:paraId="28B3B02B" w14:textId="77777777" w:rsidR="00ED5280" w:rsidRPr="00ED5280" w:rsidRDefault="00ED5280" w:rsidP="000101B1">
            <w:pPr>
              <w:jc w:val="center"/>
              <w:rPr>
                <w:rFonts w:ascii="Arial" w:hAnsi="Arial" w:cs="Arial"/>
                <w:b/>
              </w:rPr>
            </w:pPr>
            <w:r w:rsidRPr="00ED5280">
              <w:rPr>
                <w:rFonts w:ascii="Arial" w:hAnsi="Arial" w:cs="Arial"/>
                <w:b/>
              </w:rPr>
              <w:t>Site 2</w:t>
            </w:r>
          </w:p>
        </w:tc>
        <w:tc>
          <w:tcPr>
            <w:tcW w:w="1080" w:type="dxa"/>
          </w:tcPr>
          <w:p w14:paraId="107A2DC0" w14:textId="77777777" w:rsidR="00ED5280" w:rsidRPr="00ED5280" w:rsidRDefault="00ED5280" w:rsidP="000101B1">
            <w:pPr>
              <w:jc w:val="center"/>
              <w:rPr>
                <w:rFonts w:ascii="Arial" w:hAnsi="Arial" w:cs="Arial"/>
                <w:b/>
              </w:rPr>
            </w:pPr>
            <w:r w:rsidRPr="00ED5280">
              <w:rPr>
                <w:rFonts w:ascii="Arial" w:hAnsi="Arial" w:cs="Arial"/>
                <w:b/>
              </w:rPr>
              <w:t>Site 3</w:t>
            </w:r>
          </w:p>
        </w:tc>
      </w:tr>
      <w:tr w:rsidR="00ED5280" w:rsidRPr="00ED5280" w14:paraId="0149D55F" w14:textId="77777777" w:rsidTr="000101B1">
        <w:tc>
          <w:tcPr>
            <w:tcW w:w="864" w:type="dxa"/>
          </w:tcPr>
          <w:p w14:paraId="5A67A888" w14:textId="389F6416" w:rsidR="00ED5280" w:rsidRPr="00CE11A1" w:rsidRDefault="001E7FCD" w:rsidP="000101B1">
            <w:pPr>
              <w:jc w:val="center"/>
              <w:rPr>
                <w:rFonts w:ascii="Arial" w:hAnsi="Arial" w:cs="Arial"/>
                <w:b/>
                <w:color w:val="0000FF"/>
              </w:rPr>
            </w:pPr>
            <w:r w:rsidRPr="00CE11A1">
              <w:rPr>
                <w:rFonts w:ascii="Arial" w:hAnsi="Arial" w:cs="Arial"/>
                <w:b/>
                <w:color w:val="0000FF"/>
              </w:rPr>
              <w:t>AA</w:t>
            </w:r>
          </w:p>
        </w:tc>
        <w:tc>
          <w:tcPr>
            <w:tcW w:w="1116" w:type="dxa"/>
          </w:tcPr>
          <w:p w14:paraId="55B93FCC" w14:textId="01A96260" w:rsidR="00ED5280" w:rsidRPr="00CE11A1" w:rsidRDefault="00CE11A1" w:rsidP="000101B1">
            <w:pPr>
              <w:jc w:val="center"/>
              <w:rPr>
                <w:rFonts w:ascii="Arial" w:hAnsi="Arial" w:cs="Arial"/>
                <w:b/>
                <w:color w:val="0000FF"/>
              </w:rPr>
            </w:pPr>
            <w:r w:rsidRPr="00CE11A1">
              <w:rPr>
                <w:rFonts w:ascii="Arial" w:hAnsi="Arial" w:cs="Arial"/>
                <w:b/>
                <w:color w:val="0000FF"/>
              </w:rPr>
              <w:t>AG</w:t>
            </w:r>
          </w:p>
        </w:tc>
        <w:tc>
          <w:tcPr>
            <w:tcW w:w="1080" w:type="dxa"/>
          </w:tcPr>
          <w:p w14:paraId="3ED15F82" w14:textId="5A2FB2E6" w:rsidR="00ED5280" w:rsidRPr="00CE11A1" w:rsidRDefault="00CE11A1" w:rsidP="000101B1">
            <w:pPr>
              <w:jc w:val="center"/>
              <w:rPr>
                <w:rFonts w:ascii="Arial" w:hAnsi="Arial" w:cs="Arial"/>
                <w:b/>
                <w:color w:val="0000FF"/>
              </w:rPr>
            </w:pPr>
            <w:r>
              <w:rPr>
                <w:rFonts w:ascii="Arial" w:hAnsi="Arial" w:cs="Arial"/>
                <w:b/>
                <w:color w:val="0000FF"/>
              </w:rPr>
              <w:t>TC</w:t>
            </w:r>
          </w:p>
        </w:tc>
      </w:tr>
    </w:tbl>
    <w:p w14:paraId="088B5A82" w14:textId="5814637E" w:rsidR="00ED5280" w:rsidRPr="00ED5280" w:rsidRDefault="00ED5280" w:rsidP="00ED5280">
      <w:pPr>
        <w:rPr>
          <w:rFonts w:ascii="Arial" w:hAnsi="Arial" w:cs="Arial"/>
        </w:rPr>
      </w:pPr>
      <w:r w:rsidRPr="00ED5280">
        <w:rPr>
          <w:rFonts w:ascii="Arial" w:hAnsi="Arial" w:cs="Arial"/>
        </w:rPr>
        <w:t xml:space="preserve">B) You worry that your call at site </w:t>
      </w:r>
      <w:r w:rsidR="00C40C06">
        <w:rPr>
          <w:rFonts w:ascii="Arial" w:hAnsi="Arial" w:cs="Arial"/>
        </w:rPr>
        <w:t>2</w:t>
      </w:r>
      <w:r w:rsidRPr="00ED5280">
        <w:rPr>
          <w:rFonts w:ascii="Arial" w:hAnsi="Arial" w:cs="Arial"/>
        </w:rPr>
        <w:t xml:space="preserve"> might not be accurate. In order to improve the accuracy of your fetal genotyping, you use parental haplotype blocks. Re-evaluate your fetal genotype inference based on the maternal haplotypes below. </w:t>
      </w:r>
    </w:p>
    <w:p w14:paraId="651BDB28" w14:textId="2139ADBF" w:rsidR="00ED5280" w:rsidRPr="00ED5280" w:rsidRDefault="00B75A52" w:rsidP="00ED5280">
      <w:pPr>
        <w:rPr>
          <w:rFonts w:ascii="Arial" w:hAnsi="Arial" w:cs="Arial"/>
          <w:b/>
        </w:rPr>
      </w:pPr>
      <w:r>
        <w:rPr>
          <w:rFonts w:ascii="Arial" w:hAnsi="Arial" w:cs="Arial"/>
          <w:noProof/>
        </w:rPr>
        <mc:AlternateContent>
          <mc:Choice Requires="wps">
            <w:drawing>
              <wp:anchor distT="0" distB="0" distL="114300" distR="114300" simplePos="0" relativeHeight="251658240" behindDoc="0" locked="0" layoutInCell="1" allowOverlap="1" wp14:anchorId="6C6272A3" wp14:editId="4CDF037C">
                <wp:simplePos x="0" y="0"/>
                <wp:positionH relativeFrom="column">
                  <wp:posOffset>0</wp:posOffset>
                </wp:positionH>
                <wp:positionV relativeFrom="paragraph">
                  <wp:posOffset>137160</wp:posOffset>
                </wp:positionV>
                <wp:extent cx="5257800" cy="1519555"/>
                <wp:effectExtent l="0" t="0" r="0" b="444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15195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65BD0D" w14:textId="77777777" w:rsidR="00436CAF" w:rsidRDefault="00436CAF" w:rsidP="00ED5280">
                            <w:pPr>
                              <w:jc w:val="center"/>
                            </w:pPr>
                            <w:r>
                              <w:rPr>
                                <w:noProof/>
                              </w:rPr>
                              <w:drawing>
                                <wp:inline distT="0" distB="0" distL="0" distR="0" wp14:anchorId="051E3918" wp14:editId="6B479B8F">
                                  <wp:extent cx="2509463" cy="1311336"/>
                                  <wp:effectExtent l="0" t="0" r="571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509724" cy="1311473"/>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7" type="#_x0000_t202" style="position:absolute;margin-left:0;margin-top:10.8pt;width:414pt;height:11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" filled="f" stroked="f">
                <v:path arrowok="t"/>
                <v:textbox>
                  <w:txbxContent>
                    <w:p w14:paraId="2E65BD0D" w14:textId="77777777" w:rsidR="00436CAF" w:rsidRDefault="00436CAF" w:rsidP="00ED5280">
                      <w:pPr>
                        <w:jc w:val="center"/>
                      </w:pPr>
                      <w:r>
                        <w:rPr>
                          <w:noProof/>
                        </w:rPr>
                        <w:drawing>
                          <wp:inline distT="0" distB="0" distL="0" distR="0" wp14:anchorId="051E3918" wp14:editId="6B479B8F">
                            <wp:extent cx="2509463" cy="1311336"/>
                            <wp:effectExtent l="0" t="0" r="571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509724" cy="1311473"/>
                                    </a:xfrm>
                                    <a:prstGeom prst="rect">
                                      <a:avLst/>
                                    </a:prstGeom>
                                    <a:noFill/>
                                    <a:ln w="9525">
                                      <a:noFill/>
                                      <a:miter lim="800000"/>
                                      <a:headEnd/>
                                      <a:tailEnd/>
                                    </a:ln>
                                  </pic:spPr>
                                </pic:pic>
                              </a:graphicData>
                            </a:graphic>
                          </wp:inline>
                        </w:drawing>
                      </w:r>
                    </w:p>
                  </w:txbxContent>
                </v:textbox>
                <w10:wrap type="square"/>
              </v:shape>
            </w:pict>
          </mc:Fallback>
        </mc:AlternateContent>
      </w:r>
    </w:p>
    <w:p w14:paraId="78B38022" w14:textId="77777777" w:rsid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22959CE4" w14:textId="4576056A" w:rsidR="00B75A52" w:rsidRPr="00436CAF" w:rsidRDefault="00B75A52" w:rsidP="00ED5280">
      <w:pPr>
        <w:rPr>
          <w:rFonts w:ascii="Arial" w:hAnsi="Arial" w:cs="Arial"/>
          <w:color w:val="0000FF"/>
        </w:rPr>
      </w:pPr>
      <w:r w:rsidRPr="00436CAF">
        <w:rPr>
          <w:rFonts w:ascii="Arial" w:hAnsi="Arial" w:cs="Arial"/>
          <w:color w:val="0000FF"/>
        </w:rPr>
        <w:t xml:space="preserve">Mom would likely transmit AAC or GGT. Given the fact that </w:t>
      </w:r>
      <w:r w:rsidR="00A111D9">
        <w:rPr>
          <w:rFonts w:ascii="Arial" w:hAnsi="Arial" w:cs="Arial"/>
          <w:color w:val="0000FF"/>
        </w:rPr>
        <w:t xml:space="preserve">the read data strongly suggests that </w:t>
      </w:r>
      <w:r w:rsidRPr="00436CAF">
        <w:rPr>
          <w:rFonts w:ascii="Arial" w:hAnsi="Arial" w:cs="Arial"/>
          <w:color w:val="0000FF"/>
        </w:rPr>
        <w:t>Site 1:A and Site 2: C, it is more likely that mom transmitted A at site 2 than the G initially inferred.</w:t>
      </w:r>
    </w:p>
    <w:p w14:paraId="19477E68"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383C0141" w14:textId="77777777" w:rsidTr="000101B1">
        <w:tc>
          <w:tcPr>
            <w:tcW w:w="864" w:type="dxa"/>
          </w:tcPr>
          <w:p w14:paraId="66C91E8A" w14:textId="77777777" w:rsidR="00ED5280" w:rsidRPr="00ED5280" w:rsidRDefault="00ED5280" w:rsidP="000101B1">
            <w:pPr>
              <w:jc w:val="center"/>
              <w:rPr>
                <w:rFonts w:ascii="Arial" w:hAnsi="Arial" w:cs="Arial"/>
                <w:b/>
              </w:rPr>
            </w:pPr>
            <w:r w:rsidRPr="00ED5280">
              <w:rPr>
                <w:rFonts w:ascii="Arial" w:hAnsi="Arial" w:cs="Arial"/>
                <w:b/>
              </w:rPr>
              <w:t>Site 1</w:t>
            </w:r>
          </w:p>
        </w:tc>
        <w:tc>
          <w:tcPr>
            <w:tcW w:w="1116" w:type="dxa"/>
          </w:tcPr>
          <w:p w14:paraId="4CA58E44" w14:textId="77777777" w:rsidR="00ED5280" w:rsidRPr="00ED5280" w:rsidRDefault="00ED5280" w:rsidP="000101B1">
            <w:pPr>
              <w:jc w:val="center"/>
              <w:rPr>
                <w:rFonts w:ascii="Arial" w:hAnsi="Arial" w:cs="Arial"/>
                <w:b/>
              </w:rPr>
            </w:pPr>
            <w:r w:rsidRPr="00ED5280">
              <w:rPr>
                <w:rFonts w:ascii="Arial" w:hAnsi="Arial" w:cs="Arial"/>
                <w:b/>
              </w:rPr>
              <w:t>Site 2</w:t>
            </w:r>
          </w:p>
        </w:tc>
        <w:tc>
          <w:tcPr>
            <w:tcW w:w="1080" w:type="dxa"/>
          </w:tcPr>
          <w:p w14:paraId="064FA365" w14:textId="77777777" w:rsidR="00ED5280" w:rsidRPr="00ED5280" w:rsidRDefault="00ED5280" w:rsidP="000101B1">
            <w:pPr>
              <w:jc w:val="center"/>
              <w:rPr>
                <w:rFonts w:ascii="Arial" w:hAnsi="Arial" w:cs="Arial"/>
                <w:b/>
              </w:rPr>
            </w:pPr>
            <w:r w:rsidRPr="00ED5280">
              <w:rPr>
                <w:rFonts w:ascii="Arial" w:hAnsi="Arial" w:cs="Arial"/>
                <w:b/>
              </w:rPr>
              <w:t>Site 3</w:t>
            </w:r>
          </w:p>
        </w:tc>
      </w:tr>
      <w:tr w:rsidR="00ED5280" w:rsidRPr="00ED5280" w14:paraId="57A757F3" w14:textId="77777777" w:rsidTr="000101B1">
        <w:tc>
          <w:tcPr>
            <w:tcW w:w="864" w:type="dxa"/>
          </w:tcPr>
          <w:p w14:paraId="7108F0DA" w14:textId="55CEDFE2" w:rsidR="00ED5280" w:rsidRPr="002C146D" w:rsidRDefault="000A6E5E" w:rsidP="000101B1">
            <w:pPr>
              <w:jc w:val="center"/>
              <w:rPr>
                <w:rFonts w:ascii="Arial" w:hAnsi="Arial" w:cs="Arial"/>
                <w:b/>
                <w:color w:val="0000FF"/>
              </w:rPr>
            </w:pPr>
            <w:r w:rsidRPr="002C146D">
              <w:rPr>
                <w:rFonts w:ascii="Arial" w:hAnsi="Arial" w:cs="Arial"/>
                <w:b/>
                <w:color w:val="0000FF"/>
              </w:rPr>
              <w:t>AA</w:t>
            </w:r>
          </w:p>
        </w:tc>
        <w:tc>
          <w:tcPr>
            <w:tcW w:w="1116" w:type="dxa"/>
          </w:tcPr>
          <w:p w14:paraId="7F0CDE04" w14:textId="7C6FC0EE" w:rsidR="00ED5280" w:rsidRPr="002C146D" w:rsidRDefault="000A6E5E" w:rsidP="000101B1">
            <w:pPr>
              <w:jc w:val="center"/>
              <w:rPr>
                <w:rFonts w:ascii="Arial" w:hAnsi="Arial" w:cs="Arial"/>
                <w:b/>
                <w:color w:val="0000FF"/>
              </w:rPr>
            </w:pPr>
            <w:r w:rsidRPr="002C146D">
              <w:rPr>
                <w:rFonts w:ascii="Arial" w:hAnsi="Arial" w:cs="Arial"/>
                <w:b/>
                <w:color w:val="0000FF"/>
              </w:rPr>
              <w:t>AA</w:t>
            </w:r>
          </w:p>
        </w:tc>
        <w:tc>
          <w:tcPr>
            <w:tcW w:w="1080" w:type="dxa"/>
          </w:tcPr>
          <w:p w14:paraId="2BAE455A" w14:textId="664976E0" w:rsidR="00ED5280" w:rsidRPr="002C146D" w:rsidRDefault="000A6E5E" w:rsidP="000101B1">
            <w:pPr>
              <w:jc w:val="center"/>
              <w:rPr>
                <w:rFonts w:ascii="Arial" w:hAnsi="Arial" w:cs="Arial"/>
                <w:b/>
                <w:color w:val="0000FF"/>
              </w:rPr>
            </w:pPr>
            <w:r w:rsidRPr="002C146D">
              <w:rPr>
                <w:rFonts w:ascii="Arial" w:hAnsi="Arial" w:cs="Arial"/>
                <w:b/>
                <w:color w:val="0000FF"/>
              </w:rPr>
              <w:t>TC</w:t>
            </w:r>
          </w:p>
        </w:tc>
      </w:tr>
    </w:tbl>
    <w:p w14:paraId="03D32099" w14:textId="77777777" w:rsidR="002C146D" w:rsidRDefault="002C146D" w:rsidP="002712BE">
      <w:pPr>
        <w:rPr>
          <w:rFonts w:ascii="Arial" w:hAnsi="Arial" w:cs="Arial"/>
          <w:b/>
        </w:rPr>
      </w:pPr>
    </w:p>
    <w:p w14:paraId="55963225" w14:textId="77777777" w:rsidR="002C146D" w:rsidRDefault="002C146D" w:rsidP="002712BE">
      <w:pPr>
        <w:rPr>
          <w:rFonts w:ascii="Arial" w:hAnsi="Arial" w:cs="Arial"/>
          <w:b/>
        </w:rPr>
      </w:pPr>
    </w:p>
    <w:p w14:paraId="3598F7CC" w14:textId="56B89FB1" w:rsidR="00113B60" w:rsidRPr="002C146D" w:rsidRDefault="00ED5280" w:rsidP="002712BE">
      <w:pPr>
        <w:rPr>
          <w:rFonts w:ascii="Arial" w:hAnsi="Arial" w:cs="Arial"/>
          <w:b/>
        </w:rPr>
      </w:pPr>
      <w:r w:rsidRPr="00956538">
        <w:rPr>
          <w:rFonts w:ascii="Arial" w:hAnsi="Arial" w:cs="Arial"/>
        </w:rPr>
        <w:t>1</w:t>
      </w:r>
      <w:r w:rsidR="004D0D76">
        <w:rPr>
          <w:rFonts w:ascii="Arial" w:hAnsi="Arial" w:cs="Arial"/>
        </w:rPr>
        <w:t>0</w:t>
      </w:r>
      <w:r w:rsidRPr="00956538">
        <w:rPr>
          <w:rFonts w:ascii="Arial" w:hAnsi="Arial" w:cs="Arial"/>
        </w:rPr>
        <w:t xml:space="preserve">.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9"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w:t>
      </w:r>
      <w:r w:rsidR="004D0D76">
        <w:rPr>
          <w:rFonts w:ascii="Arial" w:hAnsi="Arial" w:cs="Arial"/>
          <w:i/>
        </w:rPr>
        <w:t>2</w:t>
      </w:r>
      <w:r w:rsidR="00113B60" w:rsidRPr="00037EF4">
        <w:rPr>
          <w:rFonts w:ascii="Arial" w:hAnsi="Arial" w:cs="Arial"/>
          <w:i/>
        </w:rPr>
        <w:t xml:space="preserve"> pts</w:t>
      </w:r>
      <w:r w:rsidR="00113B60" w:rsidRPr="00037EF4">
        <w:rPr>
          <w:rFonts w:ascii="Arial" w:hAnsi="Arial" w:cs="Arial"/>
        </w:rPr>
        <w:t>).</w:t>
      </w:r>
    </w:p>
    <w:sectPr w:rsidR="00113B60" w:rsidRPr="002C146D" w:rsidSect="0014561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B009B"/>
    <w:multiLevelType w:val="multilevel"/>
    <w:tmpl w:val="DF964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2"/>
  </w:num>
  <w:num w:numId="5">
    <w:abstractNumId w:val="9"/>
  </w:num>
  <w:num w:numId="6">
    <w:abstractNumId w:val="10"/>
  </w:num>
  <w:num w:numId="7">
    <w:abstractNumId w:val="5"/>
  </w:num>
  <w:num w:numId="8">
    <w:abstractNumId w:val="6"/>
  </w:num>
  <w:num w:numId="9">
    <w:abstractNumId w:val="3"/>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101B1"/>
    <w:rsid w:val="0002036A"/>
    <w:rsid w:val="00023B29"/>
    <w:rsid w:val="00023C6A"/>
    <w:rsid w:val="000278B4"/>
    <w:rsid w:val="00037EF4"/>
    <w:rsid w:val="00061B6B"/>
    <w:rsid w:val="00070277"/>
    <w:rsid w:val="000868A6"/>
    <w:rsid w:val="000A1F61"/>
    <w:rsid w:val="000A6E5E"/>
    <w:rsid w:val="000B5654"/>
    <w:rsid w:val="00102371"/>
    <w:rsid w:val="00111A75"/>
    <w:rsid w:val="00113B60"/>
    <w:rsid w:val="0014561E"/>
    <w:rsid w:val="00197DD2"/>
    <w:rsid w:val="001B71BC"/>
    <w:rsid w:val="001C1E31"/>
    <w:rsid w:val="001C39B5"/>
    <w:rsid w:val="001D1BD1"/>
    <w:rsid w:val="001E7ADF"/>
    <w:rsid w:val="001E7FCD"/>
    <w:rsid w:val="001F7373"/>
    <w:rsid w:val="001F7916"/>
    <w:rsid w:val="002450BF"/>
    <w:rsid w:val="0025376F"/>
    <w:rsid w:val="002712BE"/>
    <w:rsid w:val="00280831"/>
    <w:rsid w:val="00291928"/>
    <w:rsid w:val="002A128B"/>
    <w:rsid w:val="002A64E8"/>
    <w:rsid w:val="002B538B"/>
    <w:rsid w:val="002C146D"/>
    <w:rsid w:val="002E38EA"/>
    <w:rsid w:val="002F1F21"/>
    <w:rsid w:val="002F79EF"/>
    <w:rsid w:val="00317862"/>
    <w:rsid w:val="00320786"/>
    <w:rsid w:val="00322ED1"/>
    <w:rsid w:val="00335C84"/>
    <w:rsid w:val="0034588C"/>
    <w:rsid w:val="00352C4E"/>
    <w:rsid w:val="00367CF9"/>
    <w:rsid w:val="00373CB6"/>
    <w:rsid w:val="003810D4"/>
    <w:rsid w:val="0039136E"/>
    <w:rsid w:val="003A5FDD"/>
    <w:rsid w:val="003B58F0"/>
    <w:rsid w:val="003C51F6"/>
    <w:rsid w:val="003E7C86"/>
    <w:rsid w:val="003F6B70"/>
    <w:rsid w:val="003F720F"/>
    <w:rsid w:val="00407F2B"/>
    <w:rsid w:val="0041610E"/>
    <w:rsid w:val="00417F5E"/>
    <w:rsid w:val="00435AD0"/>
    <w:rsid w:val="00436CAF"/>
    <w:rsid w:val="00441FF4"/>
    <w:rsid w:val="00442119"/>
    <w:rsid w:val="004451F1"/>
    <w:rsid w:val="0048525E"/>
    <w:rsid w:val="00486F40"/>
    <w:rsid w:val="004955AB"/>
    <w:rsid w:val="004A5636"/>
    <w:rsid w:val="004D0D76"/>
    <w:rsid w:val="004F0E22"/>
    <w:rsid w:val="00520306"/>
    <w:rsid w:val="00556750"/>
    <w:rsid w:val="00564968"/>
    <w:rsid w:val="00574922"/>
    <w:rsid w:val="005A180A"/>
    <w:rsid w:val="005B3F99"/>
    <w:rsid w:val="005F5E60"/>
    <w:rsid w:val="00617ACE"/>
    <w:rsid w:val="00654B47"/>
    <w:rsid w:val="00667272"/>
    <w:rsid w:val="006712DE"/>
    <w:rsid w:val="00676707"/>
    <w:rsid w:val="006836BD"/>
    <w:rsid w:val="00685561"/>
    <w:rsid w:val="0069057A"/>
    <w:rsid w:val="00691BC6"/>
    <w:rsid w:val="00692B36"/>
    <w:rsid w:val="006A6EFA"/>
    <w:rsid w:val="006C6B31"/>
    <w:rsid w:val="006D76C3"/>
    <w:rsid w:val="006E10B2"/>
    <w:rsid w:val="006E42A2"/>
    <w:rsid w:val="00703C47"/>
    <w:rsid w:val="00704DDE"/>
    <w:rsid w:val="00706AB2"/>
    <w:rsid w:val="007161B8"/>
    <w:rsid w:val="007231AE"/>
    <w:rsid w:val="00776ADB"/>
    <w:rsid w:val="00776F41"/>
    <w:rsid w:val="007A0D9A"/>
    <w:rsid w:val="007A7F89"/>
    <w:rsid w:val="007B5F66"/>
    <w:rsid w:val="007C0FD2"/>
    <w:rsid w:val="007D41B2"/>
    <w:rsid w:val="007E42B9"/>
    <w:rsid w:val="007F382C"/>
    <w:rsid w:val="007F4ACB"/>
    <w:rsid w:val="008002FC"/>
    <w:rsid w:val="00802AE1"/>
    <w:rsid w:val="00805D86"/>
    <w:rsid w:val="00817483"/>
    <w:rsid w:val="00845314"/>
    <w:rsid w:val="008510A6"/>
    <w:rsid w:val="008720B2"/>
    <w:rsid w:val="00880EB6"/>
    <w:rsid w:val="008933C6"/>
    <w:rsid w:val="008A154D"/>
    <w:rsid w:val="008F6F77"/>
    <w:rsid w:val="00945616"/>
    <w:rsid w:val="0094691E"/>
    <w:rsid w:val="00956538"/>
    <w:rsid w:val="00961030"/>
    <w:rsid w:val="0097035F"/>
    <w:rsid w:val="009835CD"/>
    <w:rsid w:val="009A3E01"/>
    <w:rsid w:val="009B1244"/>
    <w:rsid w:val="009D574D"/>
    <w:rsid w:val="009F77B1"/>
    <w:rsid w:val="00A111D9"/>
    <w:rsid w:val="00A11C16"/>
    <w:rsid w:val="00A25606"/>
    <w:rsid w:val="00A641C5"/>
    <w:rsid w:val="00A771BB"/>
    <w:rsid w:val="00A8454B"/>
    <w:rsid w:val="00A87D75"/>
    <w:rsid w:val="00A912B4"/>
    <w:rsid w:val="00AC6FAC"/>
    <w:rsid w:val="00AD14CB"/>
    <w:rsid w:val="00B04D31"/>
    <w:rsid w:val="00B22B48"/>
    <w:rsid w:val="00B400E4"/>
    <w:rsid w:val="00B53DD0"/>
    <w:rsid w:val="00B614AD"/>
    <w:rsid w:val="00B711A0"/>
    <w:rsid w:val="00B75A52"/>
    <w:rsid w:val="00B95AFC"/>
    <w:rsid w:val="00BB4727"/>
    <w:rsid w:val="00BF6198"/>
    <w:rsid w:val="00C03F9C"/>
    <w:rsid w:val="00C107B5"/>
    <w:rsid w:val="00C40C06"/>
    <w:rsid w:val="00C455D6"/>
    <w:rsid w:val="00C537DF"/>
    <w:rsid w:val="00C5576F"/>
    <w:rsid w:val="00C62026"/>
    <w:rsid w:val="00C74F57"/>
    <w:rsid w:val="00CD1717"/>
    <w:rsid w:val="00CD60F8"/>
    <w:rsid w:val="00CE11A1"/>
    <w:rsid w:val="00CF48F8"/>
    <w:rsid w:val="00D1643B"/>
    <w:rsid w:val="00D17E0A"/>
    <w:rsid w:val="00D24900"/>
    <w:rsid w:val="00D261E7"/>
    <w:rsid w:val="00D27819"/>
    <w:rsid w:val="00D35FCE"/>
    <w:rsid w:val="00D36C8B"/>
    <w:rsid w:val="00D4179B"/>
    <w:rsid w:val="00D706AD"/>
    <w:rsid w:val="00DA24BB"/>
    <w:rsid w:val="00DB3D7A"/>
    <w:rsid w:val="00DB7D78"/>
    <w:rsid w:val="00DD5871"/>
    <w:rsid w:val="00DF3633"/>
    <w:rsid w:val="00DF61C4"/>
    <w:rsid w:val="00E076EC"/>
    <w:rsid w:val="00E10FD3"/>
    <w:rsid w:val="00E1405A"/>
    <w:rsid w:val="00E33780"/>
    <w:rsid w:val="00E64BE0"/>
    <w:rsid w:val="00E700DD"/>
    <w:rsid w:val="00E91BD7"/>
    <w:rsid w:val="00EA0CBE"/>
    <w:rsid w:val="00EC729A"/>
    <w:rsid w:val="00EC732B"/>
    <w:rsid w:val="00ED3F71"/>
    <w:rsid w:val="00ED5280"/>
    <w:rsid w:val="00EF3C8B"/>
    <w:rsid w:val="00F078C7"/>
    <w:rsid w:val="00F20937"/>
    <w:rsid w:val="00F20C4F"/>
    <w:rsid w:val="00F36DA6"/>
    <w:rsid w:val="00F63818"/>
    <w:rsid w:val="00F717C6"/>
    <w:rsid w:val="00FB773A"/>
    <w:rsid w:val="00FC114D"/>
    <w:rsid w:val="00FF20FC"/>
    <w:rsid w:val="00FF4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4:docId w14:val="402C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styleId="Bibliography">
    <w:name w:val="Bibliography"/>
    <w:basedOn w:val="Normal"/>
    <w:next w:val="Normal"/>
    <w:uiPriority w:val="37"/>
    <w:unhideWhenUsed/>
    <w:rsid w:val="00805D86"/>
    <w:pPr>
      <w:tabs>
        <w:tab w:val="left" w:pos="260"/>
      </w:tabs>
      <w:ind w:left="264" w:hanging="264"/>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styleId="Bibliography">
    <w:name w:val="Bibliography"/>
    <w:basedOn w:val="Normal"/>
    <w:next w:val="Normal"/>
    <w:uiPriority w:val="37"/>
    <w:unhideWhenUsed/>
    <w:rsid w:val="00805D86"/>
    <w:pPr>
      <w:tabs>
        <w:tab w:val="left" w:pos="260"/>
      </w:tabs>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7727">
      <w:bodyDiv w:val="1"/>
      <w:marLeft w:val="0"/>
      <w:marRight w:val="0"/>
      <w:marTop w:val="0"/>
      <w:marBottom w:val="0"/>
      <w:divBdr>
        <w:top w:val="none" w:sz="0" w:space="0" w:color="auto"/>
        <w:left w:val="none" w:sz="0" w:space="0" w:color="auto"/>
        <w:bottom w:val="none" w:sz="0" w:space="0" w:color="auto"/>
        <w:right w:val="none" w:sz="0" w:space="0" w:color="auto"/>
      </w:divBdr>
    </w:div>
    <w:div w:id="645933262">
      <w:bodyDiv w:val="1"/>
      <w:marLeft w:val="0"/>
      <w:marRight w:val="0"/>
      <w:marTop w:val="0"/>
      <w:marBottom w:val="0"/>
      <w:divBdr>
        <w:top w:val="none" w:sz="0" w:space="0" w:color="auto"/>
        <w:left w:val="none" w:sz="0" w:space="0" w:color="auto"/>
        <w:bottom w:val="none" w:sz="0" w:space="0" w:color="auto"/>
        <w:right w:val="none" w:sz="0" w:space="0" w:color="auto"/>
      </w:divBdr>
    </w:div>
    <w:div w:id="678431166">
      <w:bodyDiv w:val="1"/>
      <w:marLeft w:val="0"/>
      <w:marRight w:val="0"/>
      <w:marTop w:val="0"/>
      <w:marBottom w:val="0"/>
      <w:divBdr>
        <w:top w:val="none" w:sz="0" w:space="0" w:color="auto"/>
        <w:left w:val="none" w:sz="0" w:space="0" w:color="auto"/>
        <w:bottom w:val="none" w:sz="0" w:space="0" w:color="auto"/>
        <w:right w:val="none" w:sz="0" w:space="0" w:color="auto"/>
      </w:divBdr>
      <w:divsChild>
        <w:div w:id="267666227">
          <w:marLeft w:val="0"/>
          <w:marRight w:val="0"/>
          <w:marTop w:val="0"/>
          <w:marBottom w:val="0"/>
          <w:divBdr>
            <w:top w:val="none" w:sz="0" w:space="0" w:color="auto"/>
            <w:left w:val="none" w:sz="0" w:space="0" w:color="auto"/>
            <w:bottom w:val="none" w:sz="0" w:space="0" w:color="auto"/>
            <w:right w:val="none" w:sz="0" w:space="0" w:color="auto"/>
          </w:divBdr>
          <w:divsChild>
            <w:div w:id="310715542">
              <w:marLeft w:val="0"/>
              <w:marRight w:val="0"/>
              <w:marTop w:val="0"/>
              <w:marBottom w:val="0"/>
              <w:divBdr>
                <w:top w:val="none" w:sz="0" w:space="0" w:color="auto"/>
                <w:left w:val="none" w:sz="0" w:space="0" w:color="auto"/>
                <w:bottom w:val="none" w:sz="0" w:space="0" w:color="auto"/>
                <w:right w:val="none" w:sz="0" w:space="0" w:color="auto"/>
              </w:divBdr>
              <w:divsChild>
                <w:div w:id="88094061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27482130">
      <w:bodyDiv w:val="1"/>
      <w:marLeft w:val="0"/>
      <w:marRight w:val="0"/>
      <w:marTop w:val="0"/>
      <w:marBottom w:val="0"/>
      <w:divBdr>
        <w:top w:val="none" w:sz="0" w:space="0" w:color="auto"/>
        <w:left w:val="none" w:sz="0" w:space="0" w:color="auto"/>
        <w:bottom w:val="none" w:sz="0" w:space="0" w:color="auto"/>
        <w:right w:val="none" w:sz="0" w:space="0" w:color="auto"/>
      </w:divBdr>
    </w:div>
    <w:div w:id="1526946816">
      <w:bodyDiv w:val="1"/>
      <w:marLeft w:val="0"/>
      <w:marRight w:val="0"/>
      <w:marTop w:val="0"/>
      <w:marBottom w:val="0"/>
      <w:divBdr>
        <w:top w:val="none" w:sz="0" w:space="0" w:color="auto"/>
        <w:left w:val="none" w:sz="0" w:space="0" w:color="auto"/>
        <w:bottom w:val="none" w:sz="0" w:space="0" w:color="auto"/>
        <w:right w:val="none" w:sz="0" w:space="0" w:color="auto"/>
      </w:divBdr>
    </w:div>
    <w:div w:id="19337344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pharmgkb.org/drug/PA451363"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www.stanford.edu/class/gene210/web/html/extracredit.html"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10</Pages>
  <Words>7427</Words>
  <Characters>42338</Characters>
  <Application>Microsoft Macintosh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49666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Charlotte Rajasingh</cp:lastModifiedBy>
  <cp:revision>92</cp:revision>
  <dcterms:created xsi:type="dcterms:W3CDTF">2014-05-22T21:24:00Z</dcterms:created>
  <dcterms:modified xsi:type="dcterms:W3CDTF">2014-05-23T05:01:00Z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zotero-version="4.0.19"&gt;&lt;session id="eec8YWLR"/&gt;&lt;style id="http://www.zotero.org/styles/nature" hasBibliography="1" bibliographyStyleHasBeenSet="1"/&gt;&lt;prefs&gt;&lt;pref name="fieldType" value="Field"/&gt;&lt;pref name="storeReferences" value="tr</vt:lpwstr>
  </property>
  <property fmtid="{D5CDD505-2E9C-101B-9397-08002B2CF9AE}" pid="3" name="ZOTERO_PREF_2">
    <vt:lpwstr>ue"/&gt;&lt;pref name="automaticJournalAbbreviations" value="true"/&gt;&lt;pref name="noteType" value="0"/&gt;&lt;/prefs&gt;&lt;/data&gt;</vt:lpwstr>
  </property>
</Properties>
</file>